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F4E59" w14:textId="77777777" w:rsidR="00285421" w:rsidRDefault="00285421" w:rsidP="00BF4B26">
      <w:pPr>
        <w:jc w:val="right"/>
        <w:rPr>
          <w:rFonts w:asciiTheme="majorHAnsi" w:eastAsiaTheme="majorEastAsia" w:hAnsiTheme="majorHAnsi" w:cstheme="majorBidi"/>
          <w:color w:val="2F5496" w:themeColor="accent1" w:themeShade="BF"/>
          <w:sz w:val="32"/>
          <w:szCs w:val="32"/>
          <w:lang w:val="en-US"/>
        </w:rPr>
      </w:pPr>
    </w:p>
    <w:p w14:paraId="0DC3C229" w14:textId="40EF0A33" w:rsidR="004F6F0C" w:rsidRPr="00BF6F09" w:rsidRDefault="00755916" w:rsidP="001F3986">
      <w:pPr>
        <w:jc w:val="both"/>
        <w:rPr>
          <w:rFonts w:asciiTheme="majorHAnsi" w:eastAsiaTheme="majorEastAsia" w:hAnsiTheme="majorHAnsi" w:cstheme="majorBidi"/>
          <w:color w:val="2F5496" w:themeColor="accent1" w:themeShade="BF"/>
          <w:sz w:val="32"/>
          <w:szCs w:val="32"/>
          <w:lang w:val="en-US"/>
        </w:rPr>
      </w:pPr>
      <w:r>
        <w:rPr>
          <w:rFonts w:asciiTheme="majorHAnsi" w:eastAsiaTheme="majorEastAsia" w:hAnsiTheme="majorHAnsi" w:cstheme="majorBidi"/>
          <w:color w:val="2F5496" w:themeColor="accent1" w:themeShade="BF"/>
          <w:sz w:val="32"/>
          <w:szCs w:val="32"/>
          <w:lang w:val="en-US"/>
        </w:rPr>
        <w:t>Q</w:t>
      </w:r>
      <w:r w:rsidR="0096344F" w:rsidRPr="00BF6F09">
        <w:rPr>
          <w:rFonts w:asciiTheme="majorHAnsi" w:eastAsiaTheme="majorEastAsia" w:hAnsiTheme="majorHAnsi" w:cstheme="majorBidi"/>
          <w:color w:val="2F5496" w:themeColor="accent1" w:themeShade="BF"/>
          <w:sz w:val="32"/>
          <w:szCs w:val="32"/>
          <w:lang w:val="en-US"/>
        </w:rPr>
        <w:t xml:space="preserve">PR SOFTWARE </w:t>
      </w:r>
      <w:r w:rsidR="004A3A2A">
        <w:rPr>
          <w:rFonts w:asciiTheme="majorHAnsi" w:eastAsiaTheme="majorEastAsia" w:hAnsiTheme="majorHAnsi" w:cstheme="majorBidi"/>
          <w:color w:val="2F5496" w:themeColor="accent1" w:themeShade="BF"/>
          <w:sz w:val="32"/>
          <w:szCs w:val="32"/>
          <w:lang w:val="en-US"/>
        </w:rPr>
        <w:t>PLC</w:t>
      </w:r>
      <w:r w:rsidR="0096344F" w:rsidRPr="00BF6F09">
        <w:rPr>
          <w:rFonts w:asciiTheme="majorHAnsi" w:eastAsiaTheme="majorEastAsia" w:hAnsiTheme="majorHAnsi" w:cstheme="majorBidi"/>
          <w:color w:val="2F5496" w:themeColor="accent1" w:themeShade="BF"/>
          <w:sz w:val="32"/>
          <w:szCs w:val="32"/>
          <w:lang w:val="en-US"/>
        </w:rPr>
        <w:t xml:space="preserve"> </w:t>
      </w:r>
      <w:r w:rsidR="00BF6F09" w:rsidRPr="00BF6F09">
        <w:rPr>
          <w:rFonts w:asciiTheme="majorHAnsi" w:eastAsiaTheme="majorEastAsia" w:hAnsiTheme="majorHAnsi" w:cstheme="majorBidi"/>
          <w:color w:val="2F5496" w:themeColor="accent1" w:themeShade="BF"/>
          <w:sz w:val="32"/>
          <w:szCs w:val="32"/>
          <w:lang w:val="en-US"/>
        </w:rPr>
        <w:t>RE</w:t>
      </w:r>
      <w:r w:rsidR="00BF6F09">
        <w:rPr>
          <w:rFonts w:asciiTheme="majorHAnsi" w:eastAsiaTheme="majorEastAsia" w:hAnsiTheme="majorHAnsi" w:cstheme="majorBidi"/>
          <w:color w:val="2F5496" w:themeColor="accent1" w:themeShade="BF"/>
          <w:sz w:val="32"/>
          <w:szCs w:val="32"/>
          <w:lang w:val="en-US"/>
        </w:rPr>
        <w:t>MUNERATION POLICY</w:t>
      </w:r>
    </w:p>
    <w:p w14:paraId="29FC6182" w14:textId="77777777" w:rsidR="0096344F" w:rsidRPr="00BF6F09" w:rsidRDefault="0096344F" w:rsidP="001F3986">
      <w:pPr>
        <w:jc w:val="both"/>
        <w:rPr>
          <w:lang w:val="en-US"/>
        </w:rPr>
      </w:pPr>
    </w:p>
    <w:sdt>
      <w:sdtPr>
        <w:rPr>
          <w:rFonts w:asciiTheme="minorHAnsi" w:eastAsiaTheme="minorHAnsi" w:hAnsiTheme="minorHAnsi" w:cstheme="minorBidi"/>
          <w:color w:val="auto"/>
          <w:sz w:val="22"/>
          <w:szCs w:val="22"/>
          <w:lang w:val="fi-FI"/>
        </w:rPr>
        <w:id w:val="-402224332"/>
        <w:docPartObj>
          <w:docPartGallery w:val="Table of Contents"/>
          <w:docPartUnique/>
        </w:docPartObj>
      </w:sdtPr>
      <w:sdtEndPr>
        <w:rPr>
          <w:b/>
          <w:bCs/>
        </w:rPr>
      </w:sdtEndPr>
      <w:sdtContent>
        <w:p w14:paraId="52357E0F" w14:textId="118DA0ED" w:rsidR="0096344F" w:rsidRPr="00A35543" w:rsidRDefault="008A65B5" w:rsidP="001F3986">
          <w:pPr>
            <w:pStyle w:val="TOCHeading"/>
            <w:jc w:val="both"/>
          </w:pPr>
          <w:r>
            <w:t>Contents</w:t>
          </w:r>
        </w:p>
        <w:p w14:paraId="5AC93721" w14:textId="1B7FCD67" w:rsidR="00FC7E7C" w:rsidRDefault="0096344F">
          <w:pPr>
            <w:pStyle w:val="TOC1"/>
            <w:tabs>
              <w:tab w:val="right" w:leader="dot" w:pos="9628"/>
            </w:tabs>
            <w:rPr>
              <w:rFonts w:eastAsiaTheme="minorEastAsia"/>
              <w:noProof/>
              <w:lang w:val="en-US"/>
            </w:rPr>
          </w:pPr>
          <w:r w:rsidRPr="0096344F">
            <w:fldChar w:fldCharType="begin"/>
          </w:r>
          <w:r w:rsidRPr="0096344F">
            <w:instrText xml:space="preserve"> TOC \o "1-3" \h \z \u </w:instrText>
          </w:r>
          <w:r w:rsidRPr="0096344F">
            <w:fldChar w:fldCharType="separate"/>
          </w:r>
          <w:hyperlink w:anchor="_Toc33005667" w:history="1">
            <w:r w:rsidR="00FC7E7C" w:rsidRPr="0013310E">
              <w:rPr>
                <w:rStyle w:val="Hyperlink"/>
                <w:noProof/>
                <w:lang w:val="en-US"/>
              </w:rPr>
              <w:t>Introduction</w:t>
            </w:r>
            <w:r w:rsidR="00FC7E7C">
              <w:rPr>
                <w:noProof/>
                <w:webHidden/>
              </w:rPr>
              <w:tab/>
            </w:r>
            <w:r w:rsidR="00FC7E7C">
              <w:rPr>
                <w:noProof/>
                <w:webHidden/>
              </w:rPr>
              <w:fldChar w:fldCharType="begin"/>
            </w:r>
            <w:r w:rsidR="00FC7E7C">
              <w:rPr>
                <w:noProof/>
                <w:webHidden/>
              </w:rPr>
              <w:instrText xml:space="preserve"> PAGEREF _Toc33005667 \h </w:instrText>
            </w:r>
            <w:r w:rsidR="00FC7E7C">
              <w:rPr>
                <w:noProof/>
                <w:webHidden/>
              </w:rPr>
            </w:r>
            <w:r w:rsidR="00FC7E7C">
              <w:rPr>
                <w:noProof/>
                <w:webHidden/>
              </w:rPr>
              <w:fldChar w:fldCharType="separate"/>
            </w:r>
            <w:r w:rsidR="00FC7E7C">
              <w:rPr>
                <w:noProof/>
                <w:webHidden/>
              </w:rPr>
              <w:t>2</w:t>
            </w:r>
            <w:r w:rsidR="00FC7E7C">
              <w:rPr>
                <w:noProof/>
                <w:webHidden/>
              </w:rPr>
              <w:fldChar w:fldCharType="end"/>
            </w:r>
          </w:hyperlink>
        </w:p>
        <w:p w14:paraId="7454D0B7" w14:textId="7A660A0D" w:rsidR="00FC7E7C" w:rsidRDefault="00937EFF">
          <w:pPr>
            <w:pStyle w:val="TOC2"/>
            <w:tabs>
              <w:tab w:val="right" w:leader="dot" w:pos="9628"/>
            </w:tabs>
            <w:rPr>
              <w:rFonts w:eastAsiaTheme="minorEastAsia"/>
              <w:noProof/>
              <w:lang w:val="en-US"/>
            </w:rPr>
          </w:pPr>
          <w:hyperlink w:anchor="_Toc33005668" w:history="1">
            <w:r w:rsidR="00FC7E7C" w:rsidRPr="0013310E">
              <w:rPr>
                <w:rStyle w:val="Hyperlink"/>
                <w:noProof/>
                <w:lang w:val="en-US"/>
              </w:rPr>
              <w:t>Guiding principles</w:t>
            </w:r>
            <w:r w:rsidR="00FC7E7C">
              <w:rPr>
                <w:noProof/>
                <w:webHidden/>
              </w:rPr>
              <w:tab/>
            </w:r>
            <w:r w:rsidR="00FC7E7C">
              <w:rPr>
                <w:noProof/>
                <w:webHidden/>
              </w:rPr>
              <w:fldChar w:fldCharType="begin"/>
            </w:r>
            <w:r w:rsidR="00FC7E7C">
              <w:rPr>
                <w:noProof/>
                <w:webHidden/>
              </w:rPr>
              <w:instrText xml:space="preserve"> PAGEREF _Toc33005668 \h </w:instrText>
            </w:r>
            <w:r w:rsidR="00FC7E7C">
              <w:rPr>
                <w:noProof/>
                <w:webHidden/>
              </w:rPr>
            </w:r>
            <w:r w:rsidR="00FC7E7C">
              <w:rPr>
                <w:noProof/>
                <w:webHidden/>
              </w:rPr>
              <w:fldChar w:fldCharType="separate"/>
            </w:r>
            <w:r w:rsidR="00FC7E7C">
              <w:rPr>
                <w:noProof/>
                <w:webHidden/>
              </w:rPr>
              <w:t>2</w:t>
            </w:r>
            <w:r w:rsidR="00FC7E7C">
              <w:rPr>
                <w:noProof/>
                <w:webHidden/>
              </w:rPr>
              <w:fldChar w:fldCharType="end"/>
            </w:r>
          </w:hyperlink>
        </w:p>
        <w:p w14:paraId="74D7F39D" w14:textId="33374090" w:rsidR="00FC7E7C" w:rsidRDefault="00937EFF">
          <w:pPr>
            <w:pStyle w:val="TOC1"/>
            <w:tabs>
              <w:tab w:val="right" w:leader="dot" w:pos="9628"/>
            </w:tabs>
            <w:rPr>
              <w:rFonts w:eastAsiaTheme="minorEastAsia"/>
              <w:noProof/>
              <w:lang w:val="en-US"/>
            </w:rPr>
          </w:pPr>
          <w:hyperlink w:anchor="_Toc33005669" w:history="1">
            <w:r w:rsidR="00FC7E7C" w:rsidRPr="0013310E">
              <w:rPr>
                <w:rStyle w:val="Hyperlink"/>
                <w:noProof/>
                <w:lang w:val="en-US"/>
              </w:rPr>
              <w:t>Decision-making process</w:t>
            </w:r>
            <w:r w:rsidR="00FC7E7C">
              <w:rPr>
                <w:noProof/>
                <w:webHidden/>
              </w:rPr>
              <w:tab/>
            </w:r>
            <w:r w:rsidR="00FC7E7C">
              <w:rPr>
                <w:noProof/>
                <w:webHidden/>
              </w:rPr>
              <w:fldChar w:fldCharType="begin"/>
            </w:r>
            <w:r w:rsidR="00FC7E7C">
              <w:rPr>
                <w:noProof/>
                <w:webHidden/>
              </w:rPr>
              <w:instrText xml:space="preserve"> PAGEREF _Toc33005669 \h </w:instrText>
            </w:r>
            <w:r w:rsidR="00FC7E7C">
              <w:rPr>
                <w:noProof/>
                <w:webHidden/>
              </w:rPr>
            </w:r>
            <w:r w:rsidR="00FC7E7C">
              <w:rPr>
                <w:noProof/>
                <w:webHidden/>
              </w:rPr>
              <w:fldChar w:fldCharType="separate"/>
            </w:r>
            <w:r w:rsidR="00FC7E7C">
              <w:rPr>
                <w:noProof/>
                <w:webHidden/>
              </w:rPr>
              <w:t>2</w:t>
            </w:r>
            <w:r w:rsidR="00FC7E7C">
              <w:rPr>
                <w:noProof/>
                <w:webHidden/>
              </w:rPr>
              <w:fldChar w:fldCharType="end"/>
            </w:r>
          </w:hyperlink>
        </w:p>
        <w:p w14:paraId="1BA9C70C" w14:textId="1B98F0F7" w:rsidR="00FC7E7C" w:rsidRDefault="00937EFF">
          <w:pPr>
            <w:pStyle w:val="TOC2"/>
            <w:tabs>
              <w:tab w:val="right" w:leader="dot" w:pos="9628"/>
            </w:tabs>
            <w:rPr>
              <w:rFonts w:eastAsiaTheme="minorEastAsia"/>
              <w:noProof/>
              <w:lang w:val="en-US"/>
            </w:rPr>
          </w:pPr>
          <w:hyperlink w:anchor="_Toc33005670" w:history="1">
            <w:r w:rsidR="00FC7E7C" w:rsidRPr="0013310E">
              <w:rPr>
                <w:rStyle w:val="Hyperlink"/>
                <w:noProof/>
                <w:lang w:val="en-US"/>
              </w:rPr>
              <w:t>Decision-making related to the Remuneration Policy</w:t>
            </w:r>
            <w:r w:rsidR="00FC7E7C">
              <w:rPr>
                <w:noProof/>
                <w:webHidden/>
              </w:rPr>
              <w:tab/>
            </w:r>
            <w:r w:rsidR="00FC7E7C">
              <w:rPr>
                <w:noProof/>
                <w:webHidden/>
              </w:rPr>
              <w:fldChar w:fldCharType="begin"/>
            </w:r>
            <w:r w:rsidR="00FC7E7C">
              <w:rPr>
                <w:noProof/>
                <w:webHidden/>
              </w:rPr>
              <w:instrText xml:space="preserve"> PAGEREF _Toc33005670 \h </w:instrText>
            </w:r>
            <w:r w:rsidR="00FC7E7C">
              <w:rPr>
                <w:noProof/>
                <w:webHidden/>
              </w:rPr>
            </w:r>
            <w:r w:rsidR="00FC7E7C">
              <w:rPr>
                <w:noProof/>
                <w:webHidden/>
              </w:rPr>
              <w:fldChar w:fldCharType="separate"/>
            </w:r>
            <w:r w:rsidR="00FC7E7C">
              <w:rPr>
                <w:noProof/>
                <w:webHidden/>
              </w:rPr>
              <w:t>2</w:t>
            </w:r>
            <w:r w:rsidR="00FC7E7C">
              <w:rPr>
                <w:noProof/>
                <w:webHidden/>
              </w:rPr>
              <w:fldChar w:fldCharType="end"/>
            </w:r>
          </w:hyperlink>
        </w:p>
        <w:p w14:paraId="5B45D852" w14:textId="4D184A5C" w:rsidR="00FC7E7C" w:rsidRDefault="00937EFF">
          <w:pPr>
            <w:pStyle w:val="TOC2"/>
            <w:tabs>
              <w:tab w:val="right" w:leader="dot" w:pos="9628"/>
            </w:tabs>
            <w:rPr>
              <w:rFonts w:eastAsiaTheme="minorEastAsia"/>
              <w:noProof/>
              <w:lang w:val="en-US"/>
            </w:rPr>
          </w:pPr>
          <w:hyperlink w:anchor="_Toc33005671" w:history="1">
            <w:r w:rsidR="00FC7E7C" w:rsidRPr="0013310E">
              <w:rPr>
                <w:rStyle w:val="Hyperlink"/>
                <w:noProof/>
                <w:lang w:val="en-US"/>
              </w:rPr>
              <w:t>Decision-making related to the Board’s remuneration</w:t>
            </w:r>
            <w:r w:rsidR="00FC7E7C">
              <w:rPr>
                <w:noProof/>
                <w:webHidden/>
              </w:rPr>
              <w:tab/>
            </w:r>
            <w:r w:rsidR="00FC7E7C">
              <w:rPr>
                <w:noProof/>
                <w:webHidden/>
              </w:rPr>
              <w:fldChar w:fldCharType="begin"/>
            </w:r>
            <w:r w:rsidR="00FC7E7C">
              <w:rPr>
                <w:noProof/>
                <w:webHidden/>
              </w:rPr>
              <w:instrText xml:space="preserve"> PAGEREF _Toc33005671 \h </w:instrText>
            </w:r>
            <w:r w:rsidR="00FC7E7C">
              <w:rPr>
                <w:noProof/>
                <w:webHidden/>
              </w:rPr>
            </w:r>
            <w:r w:rsidR="00FC7E7C">
              <w:rPr>
                <w:noProof/>
                <w:webHidden/>
              </w:rPr>
              <w:fldChar w:fldCharType="separate"/>
            </w:r>
            <w:r w:rsidR="00FC7E7C">
              <w:rPr>
                <w:noProof/>
                <w:webHidden/>
              </w:rPr>
              <w:t>2</w:t>
            </w:r>
            <w:r w:rsidR="00FC7E7C">
              <w:rPr>
                <w:noProof/>
                <w:webHidden/>
              </w:rPr>
              <w:fldChar w:fldCharType="end"/>
            </w:r>
          </w:hyperlink>
        </w:p>
        <w:p w14:paraId="2188AE23" w14:textId="54DC145F" w:rsidR="00FC7E7C" w:rsidRDefault="00937EFF">
          <w:pPr>
            <w:pStyle w:val="TOC2"/>
            <w:tabs>
              <w:tab w:val="right" w:leader="dot" w:pos="9628"/>
            </w:tabs>
            <w:rPr>
              <w:rFonts w:eastAsiaTheme="minorEastAsia"/>
              <w:noProof/>
              <w:lang w:val="en-US"/>
            </w:rPr>
          </w:pPr>
          <w:hyperlink w:anchor="_Toc33005672" w:history="1">
            <w:r w:rsidR="00FC7E7C" w:rsidRPr="0013310E">
              <w:rPr>
                <w:rStyle w:val="Hyperlink"/>
                <w:noProof/>
                <w:lang w:val="en-US"/>
              </w:rPr>
              <w:t>Decision-making related to the CEO’s remuneration</w:t>
            </w:r>
            <w:r w:rsidR="00FC7E7C">
              <w:rPr>
                <w:noProof/>
                <w:webHidden/>
              </w:rPr>
              <w:tab/>
            </w:r>
            <w:r w:rsidR="00FC7E7C">
              <w:rPr>
                <w:noProof/>
                <w:webHidden/>
              </w:rPr>
              <w:fldChar w:fldCharType="begin"/>
            </w:r>
            <w:r w:rsidR="00FC7E7C">
              <w:rPr>
                <w:noProof/>
                <w:webHidden/>
              </w:rPr>
              <w:instrText xml:space="preserve"> PAGEREF _Toc33005672 \h </w:instrText>
            </w:r>
            <w:r w:rsidR="00FC7E7C">
              <w:rPr>
                <w:noProof/>
                <w:webHidden/>
              </w:rPr>
            </w:r>
            <w:r w:rsidR="00FC7E7C">
              <w:rPr>
                <w:noProof/>
                <w:webHidden/>
              </w:rPr>
              <w:fldChar w:fldCharType="separate"/>
            </w:r>
            <w:r w:rsidR="00FC7E7C">
              <w:rPr>
                <w:noProof/>
                <w:webHidden/>
              </w:rPr>
              <w:t>3</w:t>
            </w:r>
            <w:r w:rsidR="00FC7E7C">
              <w:rPr>
                <w:noProof/>
                <w:webHidden/>
              </w:rPr>
              <w:fldChar w:fldCharType="end"/>
            </w:r>
          </w:hyperlink>
        </w:p>
        <w:p w14:paraId="138D4138" w14:textId="5C724929" w:rsidR="00FC7E7C" w:rsidRDefault="00937EFF">
          <w:pPr>
            <w:pStyle w:val="TOC1"/>
            <w:tabs>
              <w:tab w:val="right" w:leader="dot" w:pos="9628"/>
            </w:tabs>
            <w:rPr>
              <w:rFonts w:eastAsiaTheme="minorEastAsia"/>
              <w:noProof/>
              <w:lang w:val="en-US"/>
            </w:rPr>
          </w:pPr>
          <w:hyperlink w:anchor="_Toc33005673" w:history="1">
            <w:r w:rsidR="00FC7E7C" w:rsidRPr="0013310E">
              <w:rPr>
                <w:rStyle w:val="Hyperlink"/>
                <w:noProof/>
                <w:lang w:val="en-US"/>
              </w:rPr>
              <w:t>Remuneration of the Board</w:t>
            </w:r>
            <w:r w:rsidR="00FC7E7C">
              <w:rPr>
                <w:noProof/>
                <w:webHidden/>
              </w:rPr>
              <w:tab/>
            </w:r>
            <w:r w:rsidR="00FC7E7C">
              <w:rPr>
                <w:noProof/>
                <w:webHidden/>
              </w:rPr>
              <w:fldChar w:fldCharType="begin"/>
            </w:r>
            <w:r w:rsidR="00FC7E7C">
              <w:rPr>
                <w:noProof/>
                <w:webHidden/>
              </w:rPr>
              <w:instrText xml:space="preserve"> PAGEREF _Toc33005673 \h </w:instrText>
            </w:r>
            <w:r w:rsidR="00FC7E7C">
              <w:rPr>
                <w:noProof/>
                <w:webHidden/>
              </w:rPr>
            </w:r>
            <w:r w:rsidR="00FC7E7C">
              <w:rPr>
                <w:noProof/>
                <w:webHidden/>
              </w:rPr>
              <w:fldChar w:fldCharType="separate"/>
            </w:r>
            <w:r w:rsidR="00FC7E7C">
              <w:rPr>
                <w:noProof/>
                <w:webHidden/>
              </w:rPr>
              <w:t>3</w:t>
            </w:r>
            <w:r w:rsidR="00FC7E7C">
              <w:rPr>
                <w:noProof/>
                <w:webHidden/>
              </w:rPr>
              <w:fldChar w:fldCharType="end"/>
            </w:r>
          </w:hyperlink>
        </w:p>
        <w:p w14:paraId="2D0BC647" w14:textId="24992A80" w:rsidR="00FC7E7C" w:rsidRDefault="00937EFF">
          <w:pPr>
            <w:pStyle w:val="TOC1"/>
            <w:tabs>
              <w:tab w:val="right" w:leader="dot" w:pos="9628"/>
            </w:tabs>
            <w:rPr>
              <w:rFonts w:eastAsiaTheme="minorEastAsia"/>
              <w:noProof/>
              <w:lang w:val="en-US"/>
            </w:rPr>
          </w:pPr>
          <w:hyperlink w:anchor="_Toc33005674" w:history="1">
            <w:r w:rsidR="00FC7E7C" w:rsidRPr="0013310E">
              <w:rPr>
                <w:rStyle w:val="Hyperlink"/>
                <w:noProof/>
                <w:lang w:val="en-US"/>
              </w:rPr>
              <w:t>CEO’s Remuneration</w:t>
            </w:r>
            <w:r w:rsidR="00FC7E7C">
              <w:rPr>
                <w:noProof/>
                <w:webHidden/>
              </w:rPr>
              <w:tab/>
            </w:r>
            <w:r w:rsidR="00FC7E7C">
              <w:rPr>
                <w:noProof/>
                <w:webHidden/>
              </w:rPr>
              <w:fldChar w:fldCharType="begin"/>
            </w:r>
            <w:r w:rsidR="00FC7E7C">
              <w:rPr>
                <w:noProof/>
                <w:webHidden/>
              </w:rPr>
              <w:instrText xml:space="preserve"> PAGEREF _Toc33005674 \h </w:instrText>
            </w:r>
            <w:r w:rsidR="00FC7E7C">
              <w:rPr>
                <w:noProof/>
                <w:webHidden/>
              </w:rPr>
            </w:r>
            <w:r w:rsidR="00FC7E7C">
              <w:rPr>
                <w:noProof/>
                <w:webHidden/>
              </w:rPr>
              <w:fldChar w:fldCharType="separate"/>
            </w:r>
            <w:r w:rsidR="00FC7E7C">
              <w:rPr>
                <w:noProof/>
                <w:webHidden/>
              </w:rPr>
              <w:t>3</w:t>
            </w:r>
            <w:r w:rsidR="00FC7E7C">
              <w:rPr>
                <w:noProof/>
                <w:webHidden/>
              </w:rPr>
              <w:fldChar w:fldCharType="end"/>
            </w:r>
          </w:hyperlink>
        </w:p>
        <w:p w14:paraId="37C26FD4" w14:textId="2D20CBA3" w:rsidR="00FC7E7C" w:rsidRDefault="00937EFF">
          <w:pPr>
            <w:pStyle w:val="TOC2"/>
            <w:tabs>
              <w:tab w:val="right" w:leader="dot" w:pos="9628"/>
            </w:tabs>
            <w:rPr>
              <w:rFonts w:eastAsiaTheme="minorEastAsia"/>
              <w:noProof/>
              <w:lang w:val="en-US"/>
            </w:rPr>
          </w:pPr>
          <w:hyperlink w:anchor="_Toc33005675" w:history="1">
            <w:r w:rsidR="00FC7E7C" w:rsidRPr="0013310E">
              <w:rPr>
                <w:rStyle w:val="Hyperlink"/>
                <w:noProof/>
                <w:lang w:val="en-US"/>
              </w:rPr>
              <w:t>Remuneration elements</w:t>
            </w:r>
            <w:r w:rsidR="00FC7E7C">
              <w:rPr>
                <w:noProof/>
                <w:webHidden/>
              </w:rPr>
              <w:tab/>
            </w:r>
            <w:r w:rsidR="00FC7E7C">
              <w:rPr>
                <w:noProof/>
                <w:webHidden/>
              </w:rPr>
              <w:fldChar w:fldCharType="begin"/>
            </w:r>
            <w:r w:rsidR="00FC7E7C">
              <w:rPr>
                <w:noProof/>
                <w:webHidden/>
              </w:rPr>
              <w:instrText xml:space="preserve"> PAGEREF _Toc33005675 \h </w:instrText>
            </w:r>
            <w:r w:rsidR="00FC7E7C">
              <w:rPr>
                <w:noProof/>
                <w:webHidden/>
              </w:rPr>
            </w:r>
            <w:r w:rsidR="00FC7E7C">
              <w:rPr>
                <w:noProof/>
                <w:webHidden/>
              </w:rPr>
              <w:fldChar w:fldCharType="separate"/>
            </w:r>
            <w:r w:rsidR="00FC7E7C">
              <w:rPr>
                <w:noProof/>
                <w:webHidden/>
              </w:rPr>
              <w:t>3</w:t>
            </w:r>
            <w:r w:rsidR="00FC7E7C">
              <w:rPr>
                <w:noProof/>
                <w:webHidden/>
              </w:rPr>
              <w:fldChar w:fldCharType="end"/>
            </w:r>
          </w:hyperlink>
        </w:p>
        <w:p w14:paraId="3948F048" w14:textId="3D00F8E7" w:rsidR="00FC7E7C" w:rsidRDefault="00937EFF">
          <w:pPr>
            <w:pStyle w:val="TOC2"/>
            <w:tabs>
              <w:tab w:val="right" w:leader="dot" w:pos="9628"/>
            </w:tabs>
            <w:rPr>
              <w:rFonts w:eastAsiaTheme="minorEastAsia"/>
              <w:noProof/>
              <w:lang w:val="en-US"/>
            </w:rPr>
          </w:pPr>
          <w:hyperlink w:anchor="_Toc33005676" w:history="1">
            <w:r w:rsidR="00FC7E7C" w:rsidRPr="0013310E">
              <w:rPr>
                <w:rStyle w:val="Hyperlink"/>
                <w:noProof/>
                <w:lang w:val="en-US"/>
              </w:rPr>
              <w:t>Main terms of service</w:t>
            </w:r>
            <w:r w:rsidR="00FC7E7C">
              <w:rPr>
                <w:noProof/>
                <w:webHidden/>
              </w:rPr>
              <w:tab/>
            </w:r>
            <w:r w:rsidR="00FC7E7C">
              <w:rPr>
                <w:noProof/>
                <w:webHidden/>
              </w:rPr>
              <w:fldChar w:fldCharType="begin"/>
            </w:r>
            <w:r w:rsidR="00FC7E7C">
              <w:rPr>
                <w:noProof/>
                <w:webHidden/>
              </w:rPr>
              <w:instrText xml:space="preserve"> PAGEREF _Toc33005676 \h </w:instrText>
            </w:r>
            <w:r w:rsidR="00FC7E7C">
              <w:rPr>
                <w:noProof/>
                <w:webHidden/>
              </w:rPr>
            </w:r>
            <w:r w:rsidR="00FC7E7C">
              <w:rPr>
                <w:noProof/>
                <w:webHidden/>
              </w:rPr>
              <w:fldChar w:fldCharType="separate"/>
            </w:r>
            <w:r w:rsidR="00FC7E7C">
              <w:rPr>
                <w:noProof/>
                <w:webHidden/>
              </w:rPr>
              <w:t>4</w:t>
            </w:r>
            <w:r w:rsidR="00FC7E7C">
              <w:rPr>
                <w:noProof/>
                <w:webHidden/>
              </w:rPr>
              <w:fldChar w:fldCharType="end"/>
            </w:r>
          </w:hyperlink>
        </w:p>
        <w:p w14:paraId="3E36D2F2" w14:textId="63D13477" w:rsidR="00FC7E7C" w:rsidRDefault="00937EFF">
          <w:pPr>
            <w:pStyle w:val="TOC2"/>
            <w:tabs>
              <w:tab w:val="right" w:leader="dot" w:pos="9628"/>
            </w:tabs>
            <w:rPr>
              <w:rFonts w:eastAsiaTheme="minorEastAsia"/>
              <w:noProof/>
              <w:lang w:val="en-US"/>
            </w:rPr>
          </w:pPr>
          <w:hyperlink w:anchor="_Toc33005677" w:history="1">
            <w:r w:rsidR="00FC7E7C" w:rsidRPr="0013310E">
              <w:rPr>
                <w:rStyle w:val="Hyperlink"/>
                <w:noProof/>
                <w:lang w:val="en-US"/>
              </w:rPr>
              <w:t>Malus, deferral and clawback</w:t>
            </w:r>
            <w:r w:rsidR="00FC7E7C">
              <w:rPr>
                <w:noProof/>
                <w:webHidden/>
              </w:rPr>
              <w:tab/>
            </w:r>
            <w:r w:rsidR="00FC7E7C">
              <w:rPr>
                <w:noProof/>
                <w:webHidden/>
              </w:rPr>
              <w:fldChar w:fldCharType="begin"/>
            </w:r>
            <w:r w:rsidR="00FC7E7C">
              <w:rPr>
                <w:noProof/>
                <w:webHidden/>
              </w:rPr>
              <w:instrText xml:space="preserve"> PAGEREF _Toc33005677 \h </w:instrText>
            </w:r>
            <w:r w:rsidR="00FC7E7C">
              <w:rPr>
                <w:noProof/>
                <w:webHidden/>
              </w:rPr>
            </w:r>
            <w:r w:rsidR="00FC7E7C">
              <w:rPr>
                <w:noProof/>
                <w:webHidden/>
              </w:rPr>
              <w:fldChar w:fldCharType="separate"/>
            </w:r>
            <w:r w:rsidR="00FC7E7C">
              <w:rPr>
                <w:noProof/>
                <w:webHidden/>
              </w:rPr>
              <w:t>4</w:t>
            </w:r>
            <w:r w:rsidR="00FC7E7C">
              <w:rPr>
                <w:noProof/>
                <w:webHidden/>
              </w:rPr>
              <w:fldChar w:fldCharType="end"/>
            </w:r>
          </w:hyperlink>
        </w:p>
        <w:p w14:paraId="5847711E" w14:textId="37A5F4E1" w:rsidR="00FC7E7C" w:rsidRDefault="00937EFF">
          <w:pPr>
            <w:pStyle w:val="TOC1"/>
            <w:tabs>
              <w:tab w:val="right" w:leader="dot" w:pos="9628"/>
            </w:tabs>
            <w:rPr>
              <w:rFonts w:eastAsiaTheme="minorEastAsia"/>
              <w:noProof/>
              <w:lang w:val="en-US"/>
            </w:rPr>
          </w:pPr>
          <w:hyperlink w:anchor="_Toc33005678" w:history="1">
            <w:r w:rsidR="00FC7E7C" w:rsidRPr="0013310E">
              <w:rPr>
                <w:rStyle w:val="Hyperlink"/>
                <w:noProof/>
                <w:lang w:val="en-US"/>
              </w:rPr>
              <w:t>Exceptional circumstances and temporary deviation</w:t>
            </w:r>
            <w:r w:rsidR="00FC7E7C">
              <w:rPr>
                <w:noProof/>
                <w:webHidden/>
              </w:rPr>
              <w:tab/>
            </w:r>
            <w:r w:rsidR="00FC7E7C">
              <w:rPr>
                <w:noProof/>
                <w:webHidden/>
              </w:rPr>
              <w:fldChar w:fldCharType="begin"/>
            </w:r>
            <w:r w:rsidR="00FC7E7C">
              <w:rPr>
                <w:noProof/>
                <w:webHidden/>
              </w:rPr>
              <w:instrText xml:space="preserve"> PAGEREF _Toc33005678 \h </w:instrText>
            </w:r>
            <w:r w:rsidR="00FC7E7C">
              <w:rPr>
                <w:noProof/>
                <w:webHidden/>
              </w:rPr>
            </w:r>
            <w:r w:rsidR="00FC7E7C">
              <w:rPr>
                <w:noProof/>
                <w:webHidden/>
              </w:rPr>
              <w:fldChar w:fldCharType="separate"/>
            </w:r>
            <w:r w:rsidR="00FC7E7C">
              <w:rPr>
                <w:noProof/>
                <w:webHidden/>
              </w:rPr>
              <w:t>4</w:t>
            </w:r>
            <w:r w:rsidR="00FC7E7C">
              <w:rPr>
                <w:noProof/>
                <w:webHidden/>
              </w:rPr>
              <w:fldChar w:fldCharType="end"/>
            </w:r>
          </w:hyperlink>
        </w:p>
        <w:p w14:paraId="635B9C91" w14:textId="47CB789F" w:rsidR="0096344F" w:rsidRPr="0096344F" w:rsidRDefault="0096344F" w:rsidP="001F3986">
          <w:pPr>
            <w:jc w:val="both"/>
          </w:pPr>
          <w:r w:rsidRPr="0096344F">
            <w:rPr>
              <w:b/>
              <w:bCs/>
            </w:rPr>
            <w:fldChar w:fldCharType="end"/>
          </w:r>
        </w:p>
      </w:sdtContent>
    </w:sdt>
    <w:p w14:paraId="4C925592" w14:textId="345DEC86" w:rsidR="0096344F" w:rsidRPr="0096344F" w:rsidRDefault="0096344F" w:rsidP="001F3986">
      <w:pPr>
        <w:jc w:val="both"/>
      </w:pPr>
      <w:r w:rsidRPr="0096344F">
        <w:br w:type="page"/>
      </w:r>
    </w:p>
    <w:p w14:paraId="24E99549" w14:textId="3CE5F8AF" w:rsidR="0096344F" w:rsidRPr="00547DD1" w:rsidRDefault="00547DD1" w:rsidP="001F3986">
      <w:pPr>
        <w:pStyle w:val="Heading1"/>
        <w:jc w:val="both"/>
        <w:rPr>
          <w:lang w:val="en-US"/>
        </w:rPr>
      </w:pPr>
      <w:bookmarkStart w:id="0" w:name="_Toc33005667"/>
      <w:r w:rsidRPr="00547DD1">
        <w:rPr>
          <w:lang w:val="en-US"/>
        </w:rPr>
        <w:lastRenderedPageBreak/>
        <w:t>Introduction</w:t>
      </w:r>
      <w:bookmarkEnd w:id="0"/>
    </w:p>
    <w:p w14:paraId="4B6816AF" w14:textId="6CD7EE6C" w:rsidR="00547DD1" w:rsidRPr="00547DD1" w:rsidRDefault="00547DD1" w:rsidP="001F3986">
      <w:pPr>
        <w:jc w:val="both"/>
        <w:rPr>
          <w:lang w:val="en-US"/>
        </w:rPr>
      </w:pPr>
      <w:r>
        <w:rPr>
          <w:lang w:val="en-US"/>
        </w:rPr>
        <w:t>The</w:t>
      </w:r>
      <w:r w:rsidRPr="00547DD1">
        <w:rPr>
          <w:lang w:val="en-US"/>
        </w:rPr>
        <w:t xml:space="preserve"> Remuneration Policy </w:t>
      </w:r>
      <w:r w:rsidR="00434565">
        <w:rPr>
          <w:lang w:val="en-US"/>
        </w:rPr>
        <w:t>defines</w:t>
      </w:r>
      <w:r w:rsidRPr="00547DD1">
        <w:rPr>
          <w:lang w:val="en-US"/>
        </w:rPr>
        <w:t xml:space="preserve"> the principles for the remuneration of the Board of Directors and the CEO</w:t>
      </w:r>
      <w:r w:rsidR="00434565">
        <w:rPr>
          <w:lang w:val="en-US"/>
        </w:rPr>
        <w:t xml:space="preserve"> and potential Deputy</w:t>
      </w:r>
      <w:r w:rsidR="00CF3504">
        <w:rPr>
          <w:lang w:val="en-US"/>
        </w:rPr>
        <w:t xml:space="preserve"> CEO</w:t>
      </w:r>
      <w:r w:rsidRPr="00547DD1">
        <w:rPr>
          <w:lang w:val="en-US"/>
        </w:rPr>
        <w:t xml:space="preserve"> of </w:t>
      </w:r>
      <w:r w:rsidR="00434565">
        <w:rPr>
          <w:lang w:val="en-US"/>
        </w:rPr>
        <w:t>QPR Software Plc</w:t>
      </w:r>
      <w:r w:rsidRPr="00547DD1">
        <w:rPr>
          <w:lang w:val="en-US"/>
        </w:rPr>
        <w:t xml:space="preserve"> ("</w:t>
      </w:r>
      <w:r>
        <w:rPr>
          <w:lang w:val="en-US"/>
        </w:rPr>
        <w:t>QPR Software</w:t>
      </w:r>
      <w:r w:rsidRPr="00547DD1">
        <w:rPr>
          <w:lang w:val="en-US"/>
        </w:rPr>
        <w:t>" or the "Company"). What is said about the CEO, wi</w:t>
      </w:r>
      <w:r>
        <w:rPr>
          <w:lang w:val="en-US"/>
        </w:rPr>
        <w:t>ll</w:t>
      </w:r>
      <w:r w:rsidRPr="00547DD1">
        <w:rPr>
          <w:lang w:val="en-US"/>
        </w:rPr>
        <w:t xml:space="preserve"> also apply to a potential Deputy CEO. </w:t>
      </w:r>
    </w:p>
    <w:p w14:paraId="49C33E1E" w14:textId="5F2FAB79" w:rsidR="00CF3504" w:rsidRDefault="00CF3504" w:rsidP="001F3986">
      <w:pPr>
        <w:jc w:val="both"/>
        <w:rPr>
          <w:lang w:val="en-US"/>
        </w:rPr>
      </w:pPr>
      <w:r>
        <w:rPr>
          <w:lang w:val="en-US"/>
        </w:rPr>
        <w:t>The Board of Directors of QPR Software (“the Board”)</w:t>
      </w:r>
      <w:r w:rsidRPr="0096064A">
        <w:rPr>
          <w:lang w:val="en-US"/>
        </w:rPr>
        <w:t xml:space="preserve"> has </w:t>
      </w:r>
      <w:proofErr w:type="gramStart"/>
      <w:r w:rsidRPr="0096064A">
        <w:rPr>
          <w:lang w:val="en-US"/>
        </w:rPr>
        <w:t>taken into account</w:t>
      </w:r>
      <w:proofErr w:type="gramEnd"/>
      <w:r w:rsidRPr="0096064A">
        <w:rPr>
          <w:lang w:val="en-US"/>
        </w:rPr>
        <w:t xml:space="preserve"> the </w:t>
      </w:r>
      <w:r w:rsidR="00137E3E">
        <w:rPr>
          <w:lang w:val="en-US"/>
        </w:rPr>
        <w:t>r</w:t>
      </w:r>
      <w:r w:rsidRPr="0096064A">
        <w:rPr>
          <w:lang w:val="en-US"/>
        </w:rPr>
        <w:t xml:space="preserve">ecommendations </w:t>
      </w:r>
      <w:r>
        <w:rPr>
          <w:lang w:val="en-US"/>
        </w:rPr>
        <w:t>of the Finnish</w:t>
      </w:r>
      <w:r w:rsidRPr="0096064A">
        <w:rPr>
          <w:lang w:val="en-US"/>
        </w:rPr>
        <w:t xml:space="preserve"> Corporate Governance Code </w:t>
      </w:r>
      <w:r>
        <w:rPr>
          <w:lang w:val="en-US"/>
        </w:rPr>
        <w:t xml:space="preserve">2020 </w:t>
      </w:r>
      <w:r w:rsidRPr="0096064A">
        <w:rPr>
          <w:lang w:val="en-US"/>
        </w:rPr>
        <w:t>as well as the</w:t>
      </w:r>
      <w:r>
        <w:rPr>
          <w:lang w:val="en-US"/>
        </w:rPr>
        <w:t xml:space="preserve"> </w:t>
      </w:r>
      <w:r w:rsidR="00FA6B26">
        <w:rPr>
          <w:lang w:val="en-US"/>
        </w:rPr>
        <w:t>latest</w:t>
      </w:r>
      <w:r w:rsidRPr="0096064A">
        <w:rPr>
          <w:lang w:val="en-US"/>
        </w:rPr>
        <w:t xml:space="preserve"> provisions </w:t>
      </w:r>
      <w:r>
        <w:rPr>
          <w:lang w:val="en-US"/>
        </w:rPr>
        <w:t>of</w:t>
      </w:r>
      <w:r w:rsidRPr="0096064A">
        <w:rPr>
          <w:lang w:val="en-US"/>
        </w:rPr>
        <w:t xml:space="preserve"> the Finnish Securities Market Act and Limited Liability Companies Act</w:t>
      </w:r>
      <w:r>
        <w:rPr>
          <w:lang w:val="en-US"/>
        </w:rPr>
        <w:t xml:space="preserve"> in the </w:t>
      </w:r>
      <w:r w:rsidR="00137E3E">
        <w:rPr>
          <w:lang w:val="en-US"/>
        </w:rPr>
        <w:t>design</w:t>
      </w:r>
      <w:r>
        <w:rPr>
          <w:lang w:val="en-US"/>
        </w:rPr>
        <w:t xml:space="preserve"> of the Remuneration Policy. The Remuneration Policy </w:t>
      </w:r>
      <w:proofErr w:type="gramStart"/>
      <w:r w:rsidR="00053D2D">
        <w:rPr>
          <w:lang w:val="en-US"/>
        </w:rPr>
        <w:t>has</w:t>
      </w:r>
      <w:proofErr w:type="gramEnd"/>
      <w:r>
        <w:rPr>
          <w:lang w:val="en-US"/>
        </w:rPr>
        <w:t xml:space="preserve"> presented to the Annual General Meeting of QPR Software on </w:t>
      </w:r>
      <w:r w:rsidR="0055341E" w:rsidRPr="00DC2409">
        <w:rPr>
          <w:lang w:val="en-US"/>
        </w:rPr>
        <w:t>15</w:t>
      </w:r>
      <w:r w:rsidRPr="00DC2409">
        <w:rPr>
          <w:lang w:val="en-US"/>
        </w:rPr>
        <w:t xml:space="preserve"> </w:t>
      </w:r>
      <w:r w:rsidR="0055341E" w:rsidRPr="00DC2409">
        <w:rPr>
          <w:lang w:val="en-US"/>
        </w:rPr>
        <w:t>May</w:t>
      </w:r>
      <w:r w:rsidRPr="00DC2409">
        <w:rPr>
          <w:lang w:val="en-US"/>
        </w:rPr>
        <w:t xml:space="preserve"> 202</w:t>
      </w:r>
      <w:r w:rsidR="0055341E" w:rsidRPr="00DC2409">
        <w:rPr>
          <w:lang w:val="en-US"/>
        </w:rPr>
        <w:t>4</w:t>
      </w:r>
      <w:r w:rsidRPr="00DC2409">
        <w:rPr>
          <w:lang w:val="en-US"/>
        </w:rPr>
        <w:t>, and it is valid until the Company’s Annual General Meeting 202</w:t>
      </w:r>
      <w:r w:rsidR="0055341E" w:rsidRPr="00DC2409">
        <w:rPr>
          <w:lang w:val="en-US"/>
        </w:rPr>
        <w:t>8</w:t>
      </w:r>
      <w:r w:rsidRPr="00DC2409">
        <w:rPr>
          <w:lang w:val="en-US"/>
        </w:rPr>
        <w:t>, unless the Board present</w:t>
      </w:r>
      <w:r w:rsidR="004A0E5F" w:rsidRPr="00DC2409">
        <w:rPr>
          <w:lang w:val="en-US"/>
        </w:rPr>
        <w:t>s</w:t>
      </w:r>
      <w:r w:rsidRPr="00DC2409">
        <w:rPr>
          <w:lang w:val="en-US"/>
        </w:rPr>
        <w:t xml:space="preserve"> the Remuneration Policy to the General meeting earlier. </w:t>
      </w:r>
      <w:r w:rsidR="004300E2" w:rsidRPr="00DC2409">
        <w:rPr>
          <w:lang w:val="en-US"/>
        </w:rPr>
        <w:t xml:space="preserve">Material changes </w:t>
      </w:r>
      <w:r w:rsidR="004A0E5F" w:rsidRPr="00DC2409">
        <w:rPr>
          <w:lang w:val="en-US"/>
        </w:rPr>
        <w:t>in</w:t>
      </w:r>
      <w:r w:rsidR="004300E2" w:rsidRPr="00DC2409">
        <w:rPr>
          <w:lang w:val="en-US"/>
        </w:rPr>
        <w:t xml:space="preserve"> the Remuneration Policy</w:t>
      </w:r>
      <w:r w:rsidR="004A0E5F" w:rsidRPr="00DC2409">
        <w:rPr>
          <w:lang w:val="en-US"/>
        </w:rPr>
        <w:t xml:space="preserve"> always</w:t>
      </w:r>
      <w:r w:rsidR="004300E2" w:rsidRPr="00DC2409">
        <w:rPr>
          <w:lang w:val="en-US"/>
        </w:rPr>
        <w:t xml:space="preserve"> require</w:t>
      </w:r>
      <w:r w:rsidR="004A0E5F">
        <w:rPr>
          <w:lang w:val="en-US"/>
        </w:rPr>
        <w:t xml:space="preserve"> </w:t>
      </w:r>
      <w:r w:rsidR="004300E2">
        <w:rPr>
          <w:lang w:val="en-US"/>
        </w:rPr>
        <w:t>present</w:t>
      </w:r>
      <w:r w:rsidR="004A0E5F">
        <w:rPr>
          <w:lang w:val="en-US"/>
        </w:rPr>
        <w:t>ing the changed</w:t>
      </w:r>
      <w:r w:rsidR="004300E2">
        <w:rPr>
          <w:lang w:val="en-US"/>
        </w:rPr>
        <w:t xml:space="preserve"> Remuneration Policy to the General Meeting. </w:t>
      </w:r>
    </w:p>
    <w:p w14:paraId="74BC7D26" w14:textId="153B68FD" w:rsidR="0096344F" w:rsidRPr="00265A6C" w:rsidRDefault="00CE200A" w:rsidP="00F8764B">
      <w:pPr>
        <w:pStyle w:val="Heading2"/>
        <w:rPr>
          <w:lang w:val="en-US"/>
        </w:rPr>
      </w:pPr>
      <w:bookmarkStart w:id="1" w:name="_Toc33005668"/>
      <w:r>
        <w:rPr>
          <w:lang w:val="en-US"/>
        </w:rPr>
        <w:t>Guiding principles</w:t>
      </w:r>
      <w:bookmarkEnd w:id="1"/>
    </w:p>
    <w:p w14:paraId="43658CB5" w14:textId="7FA639F4" w:rsidR="002E7B48" w:rsidRPr="002E7B48" w:rsidRDefault="002E7B48" w:rsidP="001F3986">
      <w:pPr>
        <w:jc w:val="both"/>
        <w:rPr>
          <w:lang w:val="en-US"/>
        </w:rPr>
      </w:pPr>
      <w:r w:rsidRPr="002E7B48">
        <w:rPr>
          <w:lang w:val="en-US"/>
        </w:rPr>
        <w:t xml:space="preserve">The aim of the Remuneration Policy </w:t>
      </w:r>
      <w:r>
        <w:rPr>
          <w:lang w:val="en-US"/>
        </w:rPr>
        <w:t xml:space="preserve">is to </w:t>
      </w:r>
      <w:r w:rsidR="00C4327C">
        <w:rPr>
          <w:lang w:val="en-US"/>
        </w:rPr>
        <w:t xml:space="preserve">define </w:t>
      </w:r>
      <w:r>
        <w:rPr>
          <w:lang w:val="en-US"/>
        </w:rPr>
        <w:t xml:space="preserve">a framework for remuneration that supports </w:t>
      </w:r>
      <w:proofErr w:type="gramStart"/>
      <w:r>
        <w:rPr>
          <w:lang w:val="en-US"/>
        </w:rPr>
        <w:t>to pursue</w:t>
      </w:r>
      <w:proofErr w:type="gramEnd"/>
      <w:r>
        <w:rPr>
          <w:lang w:val="en-US"/>
        </w:rPr>
        <w:t xml:space="preserve"> the Company’s growth strategy, long-term financial </w:t>
      </w:r>
      <w:proofErr w:type="gramStart"/>
      <w:r>
        <w:rPr>
          <w:lang w:val="en-US"/>
        </w:rPr>
        <w:t>success</w:t>
      </w:r>
      <w:proofErr w:type="gramEnd"/>
      <w:r>
        <w:rPr>
          <w:lang w:val="en-US"/>
        </w:rPr>
        <w:t xml:space="preserve"> and shareholder value creation. </w:t>
      </w:r>
      <w:r w:rsidR="00041678">
        <w:rPr>
          <w:lang w:val="en-US"/>
        </w:rPr>
        <w:t xml:space="preserve">The Remuneration Policy </w:t>
      </w:r>
      <w:r w:rsidR="008D4F6B">
        <w:rPr>
          <w:lang w:val="en-US"/>
        </w:rPr>
        <w:t xml:space="preserve">also enables the recruitment and retainment of competent management and Board members in the Company. </w:t>
      </w:r>
    </w:p>
    <w:p w14:paraId="3DFB224C" w14:textId="0DC57274" w:rsidR="002E7B48" w:rsidRPr="008D4F6B" w:rsidRDefault="008D4F6B" w:rsidP="001F3986">
      <w:pPr>
        <w:jc w:val="both"/>
        <w:rPr>
          <w:lang w:val="en-US"/>
        </w:rPr>
      </w:pPr>
      <w:r>
        <w:rPr>
          <w:lang w:val="en-US"/>
        </w:rPr>
        <w:t xml:space="preserve">In accordance with the </w:t>
      </w:r>
      <w:r w:rsidR="00C4327C">
        <w:rPr>
          <w:lang w:val="en-US"/>
        </w:rPr>
        <w:t xml:space="preserve">guiding principles for </w:t>
      </w:r>
      <w:r>
        <w:rPr>
          <w:lang w:val="en-US"/>
        </w:rPr>
        <w:t xml:space="preserve">remuneration, the remuneration should result in competitive total earning </w:t>
      </w:r>
      <w:r w:rsidR="00C4327C">
        <w:rPr>
          <w:lang w:val="en-US"/>
        </w:rPr>
        <w:t xml:space="preserve">opportunity </w:t>
      </w:r>
      <w:r>
        <w:rPr>
          <w:lang w:val="en-US"/>
        </w:rPr>
        <w:t>where variable remuneration is aligned with the Company</w:t>
      </w:r>
      <w:r w:rsidRPr="008D4F6B">
        <w:rPr>
          <w:lang w:val="en-US"/>
        </w:rPr>
        <w:t>’</w:t>
      </w:r>
      <w:r>
        <w:rPr>
          <w:lang w:val="en-US"/>
        </w:rPr>
        <w:t xml:space="preserve">s strategy and shareholder value. The development and long-term shareholder value creation of the Company must affect the remuneration substantially. </w:t>
      </w:r>
    </w:p>
    <w:p w14:paraId="09B36AC2" w14:textId="36893501" w:rsidR="008D4F6B" w:rsidRPr="00A81BAB" w:rsidRDefault="00A81BAB" w:rsidP="001F3986">
      <w:pPr>
        <w:jc w:val="both"/>
        <w:rPr>
          <w:color w:val="000000" w:themeColor="text1"/>
          <w:lang w:val="en-US"/>
        </w:rPr>
      </w:pPr>
      <w:r w:rsidRPr="00A81BAB">
        <w:rPr>
          <w:color w:val="000000" w:themeColor="text1"/>
          <w:lang w:val="en-US"/>
        </w:rPr>
        <w:t xml:space="preserve">The Remuneration Policy </w:t>
      </w:r>
      <w:r w:rsidR="00CE200A">
        <w:rPr>
          <w:color w:val="000000" w:themeColor="text1"/>
          <w:lang w:val="en-US"/>
        </w:rPr>
        <w:t>has been prepared</w:t>
      </w:r>
      <w:r>
        <w:rPr>
          <w:color w:val="000000" w:themeColor="text1"/>
          <w:lang w:val="en-US"/>
        </w:rPr>
        <w:t xml:space="preserve"> to </w:t>
      </w:r>
      <w:r w:rsidR="00AA37E2">
        <w:rPr>
          <w:color w:val="000000" w:themeColor="text1"/>
          <w:lang w:val="en-US"/>
        </w:rPr>
        <w:t>follow</w:t>
      </w:r>
      <w:r>
        <w:rPr>
          <w:color w:val="000000" w:themeColor="text1"/>
          <w:lang w:val="en-US"/>
        </w:rPr>
        <w:t xml:space="preserve"> the remuneration </w:t>
      </w:r>
      <w:r w:rsidR="00C4327C">
        <w:rPr>
          <w:color w:val="000000" w:themeColor="text1"/>
          <w:lang w:val="en-US"/>
        </w:rPr>
        <w:t xml:space="preserve">principles </w:t>
      </w:r>
      <w:r w:rsidR="00AA37E2">
        <w:rPr>
          <w:color w:val="000000" w:themeColor="text1"/>
          <w:lang w:val="en-US"/>
        </w:rPr>
        <w:t>applicable</w:t>
      </w:r>
      <w:r>
        <w:rPr>
          <w:color w:val="000000" w:themeColor="text1"/>
          <w:lang w:val="en-US"/>
        </w:rPr>
        <w:t xml:space="preserve"> to all </w:t>
      </w:r>
      <w:r w:rsidR="00AA37E2">
        <w:rPr>
          <w:color w:val="000000" w:themeColor="text1"/>
          <w:lang w:val="en-US"/>
        </w:rPr>
        <w:t xml:space="preserve">QPR Software </w:t>
      </w:r>
      <w:r>
        <w:rPr>
          <w:color w:val="000000" w:themeColor="text1"/>
          <w:lang w:val="en-US"/>
        </w:rPr>
        <w:t xml:space="preserve">employees. This can be seen e.g. in the performance criteria of the </w:t>
      </w:r>
      <w:r w:rsidR="0065499B">
        <w:rPr>
          <w:color w:val="000000" w:themeColor="text1"/>
          <w:lang w:val="en-US"/>
        </w:rPr>
        <w:t>bonus scheme</w:t>
      </w:r>
      <w:r>
        <w:rPr>
          <w:color w:val="000000" w:themeColor="text1"/>
          <w:lang w:val="en-US"/>
        </w:rPr>
        <w:t xml:space="preserve"> </w:t>
      </w:r>
      <w:r w:rsidR="00551F33">
        <w:rPr>
          <w:color w:val="000000" w:themeColor="text1"/>
          <w:lang w:val="en-US"/>
        </w:rPr>
        <w:t>which</w:t>
      </w:r>
      <w:r>
        <w:rPr>
          <w:color w:val="000000" w:themeColor="text1"/>
          <w:lang w:val="en-US"/>
        </w:rPr>
        <w:t xml:space="preserve"> are derived from the Company’s strategy and are </w:t>
      </w:r>
      <w:r w:rsidR="00AA37E2">
        <w:rPr>
          <w:color w:val="000000" w:themeColor="text1"/>
          <w:lang w:val="en-US"/>
        </w:rPr>
        <w:t xml:space="preserve">partly </w:t>
      </w:r>
      <w:r>
        <w:rPr>
          <w:color w:val="000000" w:themeColor="text1"/>
          <w:lang w:val="en-US"/>
        </w:rPr>
        <w:t xml:space="preserve">common to the CEO and other employees. </w:t>
      </w:r>
      <w:r w:rsidR="00AA37E2">
        <w:rPr>
          <w:color w:val="000000" w:themeColor="text1"/>
          <w:lang w:val="en-US"/>
        </w:rPr>
        <w:t xml:space="preserve">However, the variable remuneration constitutes a more significant portion of the CEO’s total </w:t>
      </w:r>
      <w:r w:rsidR="00137E3E">
        <w:rPr>
          <w:color w:val="000000" w:themeColor="text1"/>
          <w:lang w:val="en-US"/>
        </w:rPr>
        <w:t>remuneration</w:t>
      </w:r>
      <w:r w:rsidR="00AA37E2">
        <w:rPr>
          <w:color w:val="000000" w:themeColor="text1"/>
          <w:lang w:val="en-US"/>
        </w:rPr>
        <w:t xml:space="preserve"> </w:t>
      </w:r>
      <w:r w:rsidR="00C4327C">
        <w:rPr>
          <w:color w:val="000000" w:themeColor="text1"/>
          <w:lang w:val="en-US"/>
        </w:rPr>
        <w:t xml:space="preserve">compared </w:t>
      </w:r>
      <w:proofErr w:type="gramStart"/>
      <w:r w:rsidR="00C4327C">
        <w:rPr>
          <w:color w:val="000000" w:themeColor="text1"/>
          <w:lang w:val="en-US"/>
        </w:rPr>
        <w:t xml:space="preserve">to </w:t>
      </w:r>
      <w:r w:rsidR="00AA37E2">
        <w:rPr>
          <w:color w:val="000000" w:themeColor="text1"/>
          <w:lang w:val="en-US"/>
        </w:rPr>
        <w:t xml:space="preserve"> typical</w:t>
      </w:r>
      <w:proofErr w:type="gramEnd"/>
      <w:r w:rsidR="00AA37E2">
        <w:rPr>
          <w:color w:val="000000" w:themeColor="text1"/>
          <w:lang w:val="en-US"/>
        </w:rPr>
        <w:t xml:space="preserve"> QPR Software employee’s total </w:t>
      </w:r>
      <w:r w:rsidR="00137E3E">
        <w:rPr>
          <w:color w:val="000000" w:themeColor="text1"/>
          <w:lang w:val="en-US"/>
        </w:rPr>
        <w:t>remuneration</w:t>
      </w:r>
      <w:r w:rsidR="00C4327C">
        <w:rPr>
          <w:color w:val="000000" w:themeColor="text1"/>
          <w:lang w:val="en-US"/>
        </w:rPr>
        <w:t xml:space="preserve"> on average</w:t>
      </w:r>
      <w:r w:rsidR="00AA37E2">
        <w:rPr>
          <w:color w:val="000000" w:themeColor="text1"/>
          <w:lang w:val="en-US"/>
        </w:rPr>
        <w:t xml:space="preserve">, since the Company aims to have an especially strong link between the CEO’s remuneration and the Company’s performance.   </w:t>
      </w:r>
    </w:p>
    <w:p w14:paraId="129A3E65" w14:textId="034DE772" w:rsidR="0096344F" w:rsidRPr="00AA37E2" w:rsidRDefault="00AA37E2" w:rsidP="001F3986">
      <w:pPr>
        <w:pStyle w:val="Heading1"/>
        <w:jc w:val="both"/>
        <w:rPr>
          <w:lang w:val="en-US"/>
        </w:rPr>
      </w:pPr>
      <w:bookmarkStart w:id="2" w:name="_Toc33005669"/>
      <w:r w:rsidRPr="00AA37E2">
        <w:rPr>
          <w:lang w:val="en-US"/>
        </w:rPr>
        <w:t>Decision-making process</w:t>
      </w:r>
      <w:bookmarkEnd w:id="2"/>
    </w:p>
    <w:p w14:paraId="425860D0" w14:textId="4B00A4A0" w:rsidR="003107C5" w:rsidRPr="005A711B" w:rsidRDefault="00AA37E2" w:rsidP="001F3986">
      <w:pPr>
        <w:pStyle w:val="Heading2"/>
        <w:jc w:val="both"/>
        <w:rPr>
          <w:lang w:val="en-US"/>
        </w:rPr>
      </w:pPr>
      <w:bookmarkStart w:id="3" w:name="_Toc33005670"/>
      <w:r w:rsidRPr="005A711B">
        <w:rPr>
          <w:lang w:val="en-US"/>
        </w:rPr>
        <w:t xml:space="preserve">Decision-making </w:t>
      </w:r>
      <w:r w:rsidR="005A711B" w:rsidRPr="005A711B">
        <w:rPr>
          <w:lang w:val="en-US"/>
        </w:rPr>
        <w:t>related to t</w:t>
      </w:r>
      <w:r w:rsidR="005A711B">
        <w:rPr>
          <w:lang w:val="en-US"/>
        </w:rPr>
        <w:t>he Remuneration Policy</w:t>
      </w:r>
      <w:bookmarkEnd w:id="3"/>
    </w:p>
    <w:p w14:paraId="39C7B383" w14:textId="180EAA1E" w:rsidR="00E53FCC" w:rsidRPr="003A664D" w:rsidRDefault="00E53FCC" w:rsidP="001F3986">
      <w:pPr>
        <w:jc w:val="both"/>
        <w:rPr>
          <w:lang w:val="en-US"/>
        </w:rPr>
      </w:pPr>
      <w:r w:rsidRPr="00FA6B26">
        <w:rPr>
          <w:lang w:val="en-US"/>
        </w:rPr>
        <w:t xml:space="preserve">The Board </w:t>
      </w:r>
      <w:r w:rsidR="00FA6B26" w:rsidRPr="00FA6B26">
        <w:rPr>
          <w:lang w:val="en-US"/>
        </w:rPr>
        <w:t>prepares the R</w:t>
      </w:r>
      <w:r w:rsidR="00FA6B26">
        <w:rPr>
          <w:lang w:val="en-US"/>
        </w:rPr>
        <w:t xml:space="preserve">emuneration Policy. </w:t>
      </w:r>
      <w:r w:rsidR="00FA6B26" w:rsidRPr="003A664D">
        <w:rPr>
          <w:lang w:val="en-US"/>
        </w:rPr>
        <w:t xml:space="preserve">The Board </w:t>
      </w:r>
      <w:r w:rsidR="003A664D" w:rsidRPr="003A664D">
        <w:rPr>
          <w:lang w:val="en-US"/>
        </w:rPr>
        <w:t>monitors</w:t>
      </w:r>
      <w:r w:rsidR="00FA6B26" w:rsidRPr="003A664D">
        <w:rPr>
          <w:lang w:val="en-US"/>
        </w:rPr>
        <w:t xml:space="preserve"> and </w:t>
      </w:r>
      <w:r w:rsidR="003A664D" w:rsidRPr="003A664D">
        <w:rPr>
          <w:lang w:val="en-US"/>
        </w:rPr>
        <w:t>evalu</w:t>
      </w:r>
      <w:r w:rsidR="003A664D">
        <w:rPr>
          <w:lang w:val="en-US"/>
        </w:rPr>
        <w:t xml:space="preserve">ates the Remuneration Policy continuously </w:t>
      </w:r>
      <w:proofErr w:type="gramStart"/>
      <w:r w:rsidR="003A664D">
        <w:rPr>
          <w:lang w:val="en-US"/>
        </w:rPr>
        <w:t>in order to</w:t>
      </w:r>
      <w:proofErr w:type="gramEnd"/>
      <w:r w:rsidR="003A664D">
        <w:rPr>
          <w:lang w:val="en-US"/>
        </w:rPr>
        <w:t xml:space="preserve"> ensure alignment with the Company’s strategy and remuneration principles. In addition, the Board </w:t>
      </w:r>
      <w:proofErr w:type="gramStart"/>
      <w:r w:rsidR="003A664D">
        <w:rPr>
          <w:lang w:val="en-US"/>
        </w:rPr>
        <w:t>takes into account</w:t>
      </w:r>
      <w:proofErr w:type="gramEnd"/>
      <w:r w:rsidR="003A664D">
        <w:rPr>
          <w:lang w:val="en-US"/>
        </w:rPr>
        <w:t xml:space="preserve"> </w:t>
      </w:r>
      <w:r w:rsidR="00137E3E">
        <w:rPr>
          <w:lang w:val="en-US"/>
        </w:rPr>
        <w:t xml:space="preserve">the </w:t>
      </w:r>
      <w:r w:rsidR="003A664D">
        <w:rPr>
          <w:lang w:val="en-US"/>
        </w:rPr>
        <w:t xml:space="preserve">advisory decisions of the General Meeting </w:t>
      </w:r>
      <w:r w:rsidR="003A664D" w:rsidRPr="005A329E">
        <w:rPr>
          <w:lang w:val="en-US"/>
        </w:rPr>
        <w:t>and comments by shareholders regarding the Remuneration Policy.</w:t>
      </w:r>
      <w:r w:rsidR="003A664D">
        <w:rPr>
          <w:lang w:val="en-US"/>
        </w:rPr>
        <w:t xml:space="preserve"> </w:t>
      </w:r>
    </w:p>
    <w:p w14:paraId="26A7D283" w14:textId="48C3410D" w:rsidR="003A664D" w:rsidRPr="00BE0941" w:rsidRDefault="003A664D" w:rsidP="001F3986">
      <w:pPr>
        <w:jc w:val="both"/>
        <w:rPr>
          <w:lang w:val="en-US"/>
        </w:rPr>
      </w:pPr>
      <w:r w:rsidRPr="003A664D">
        <w:rPr>
          <w:lang w:val="en-US"/>
        </w:rPr>
        <w:t>The Remuneration Policy is p</w:t>
      </w:r>
      <w:r>
        <w:rPr>
          <w:lang w:val="en-US"/>
        </w:rPr>
        <w:t xml:space="preserve">resented to the shareholders </w:t>
      </w:r>
      <w:r w:rsidR="008A0947">
        <w:rPr>
          <w:lang w:val="en-US"/>
        </w:rPr>
        <w:t xml:space="preserve">at least </w:t>
      </w:r>
      <w:r>
        <w:rPr>
          <w:lang w:val="en-US"/>
        </w:rPr>
        <w:t xml:space="preserve">every </w:t>
      </w:r>
      <w:r w:rsidR="00137E3E">
        <w:rPr>
          <w:lang w:val="en-US"/>
        </w:rPr>
        <w:t>4</w:t>
      </w:r>
      <w:r>
        <w:rPr>
          <w:lang w:val="en-US"/>
        </w:rPr>
        <w:t xml:space="preserve"> year</w:t>
      </w:r>
      <w:r w:rsidR="008A0947">
        <w:rPr>
          <w:lang w:val="en-US"/>
        </w:rPr>
        <w:t>s</w:t>
      </w:r>
      <w:r w:rsidR="00137E3E">
        <w:rPr>
          <w:lang w:val="en-US"/>
        </w:rPr>
        <w:t>.</w:t>
      </w:r>
      <w:r>
        <w:rPr>
          <w:lang w:val="en-US"/>
        </w:rPr>
        <w:t xml:space="preserve"> The General Meeting makes an advisory decision on the Remuneration Policy</w:t>
      </w:r>
      <w:r w:rsidR="008A0947">
        <w:rPr>
          <w:lang w:val="en-US"/>
        </w:rPr>
        <w:t xml:space="preserve">, </w:t>
      </w:r>
      <w:r>
        <w:rPr>
          <w:lang w:val="en-US"/>
        </w:rPr>
        <w:t>stat</w:t>
      </w:r>
      <w:r w:rsidR="008A0947">
        <w:rPr>
          <w:lang w:val="en-US"/>
        </w:rPr>
        <w:t>ing</w:t>
      </w:r>
      <w:r>
        <w:rPr>
          <w:lang w:val="en-US"/>
        </w:rPr>
        <w:t xml:space="preserve"> whether it support</w:t>
      </w:r>
      <w:r w:rsidR="008A0947">
        <w:rPr>
          <w:lang w:val="en-US"/>
        </w:rPr>
        <w:t>s</w:t>
      </w:r>
      <w:r>
        <w:rPr>
          <w:lang w:val="en-US"/>
        </w:rPr>
        <w:t xml:space="preserve"> the </w:t>
      </w:r>
      <w:r w:rsidR="008A0947">
        <w:rPr>
          <w:lang w:val="en-US"/>
        </w:rPr>
        <w:t>proposed</w:t>
      </w:r>
      <w:r>
        <w:rPr>
          <w:lang w:val="en-US"/>
        </w:rPr>
        <w:t xml:space="preserve"> Remuneration Policy</w:t>
      </w:r>
      <w:r w:rsidRPr="00E634FB">
        <w:rPr>
          <w:lang w:val="en-US"/>
        </w:rPr>
        <w:t xml:space="preserve">. </w:t>
      </w:r>
      <w:r w:rsidR="00BE0941" w:rsidRPr="00E634FB">
        <w:rPr>
          <w:lang w:val="en-US"/>
        </w:rPr>
        <w:t xml:space="preserve">If the majority of the General Meeting does not support the proposed Remuneration Policy, a revised Remuneration Policy must be </w:t>
      </w:r>
      <w:r w:rsidR="00C4327C" w:rsidRPr="00E634FB">
        <w:rPr>
          <w:lang w:val="en-US"/>
        </w:rPr>
        <w:t xml:space="preserve">presented </w:t>
      </w:r>
      <w:r w:rsidR="00BE0941" w:rsidRPr="00E634FB">
        <w:rPr>
          <w:lang w:val="en-US"/>
        </w:rPr>
        <w:t>to the next General Meeting</w:t>
      </w:r>
      <w:r w:rsidR="00137E3E" w:rsidRPr="00E634FB">
        <w:rPr>
          <w:lang w:val="en-US"/>
        </w:rPr>
        <w:t>, at the latest</w:t>
      </w:r>
      <w:r w:rsidR="00BE0941" w:rsidRPr="00E634FB">
        <w:rPr>
          <w:lang w:val="en-US"/>
        </w:rPr>
        <w:t>.</w:t>
      </w:r>
      <w:r w:rsidR="00BE0941">
        <w:rPr>
          <w:lang w:val="en-US"/>
        </w:rPr>
        <w:t xml:space="preserve"> </w:t>
      </w:r>
    </w:p>
    <w:p w14:paraId="22E64B91" w14:textId="48257B5A" w:rsidR="0090328B" w:rsidRPr="005A711B" w:rsidRDefault="0090328B" w:rsidP="0090328B">
      <w:pPr>
        <w:pStyle w:val="Heading2"/>
        <w:jc w:val="both"/>
        <w:rPr>
          <w:lang w:val="en-US"/>
        </w:rPr>
      </w:pPr>
      <w:bookmarkStart w:id="4" w:name="_Toc33005671"/>
      <w:r w:rsidRPr="005A711B">
        <w:rPr>
          <w:lang w:val="en-US"/>
        </w:rPr>
        <w:t>Decision-making related to t</w:t>
      </w:r>
      <w:r>
        <w:rPr>
          <w:lang w:val="en-US"/>
        </w:rPr>
        <w:t>he Board</w:t>
      </w:r>
      <w:r w:rsidR="00137E3E">
        <w:rPr>
          <w:lang w:val="en-US"/>
        </w:rPr>
        <w:t>’s remuneration</w:t>
      </w:r>
      <w:bookmarkEnd w:id="4"/>
    </w:p>
    <w:p w14:paraId="5700754D" w14:textId="744A4CA2" w:rsidR="0090328B" w:rsidRPr="00BE6045" w:rsidRDefault="00DC2409" w:rsidP="001F3986">
      <w:pPr>
        <w:jc w:val="both"/>
        <w:rPr>
          <w:lang w:val="en-US"/>
        </w:rPr>
      </w:pPr>
      <w:r w:rsidRPr="00DC2409">
        <w:rPr>
          <w:lang w:val="en-US"/>
        </w:rPr>
        <w:t xml:space="preserve">The shareholders decide on the remuneration of the Board at the General Meeting. The Nomination Committee appointed by the General Meeting of shareholders prepares a proposal for the General Meeting. The Nomination Committee shall consist of three of the company's ten largest shareholders. The remuneration of the Board shall be decided upon as a separate item on the agenda at the General Meeting. </w:t>
      </w:r>
    </w:p>
    <w:p w14:paraId="4828736A" w14:textId="698F6EE0" w:rsidR="0090328B" w:rsidRPr="005A711B" w:rsidRDefault="0090328B" w:rsidP="0090328B">
      <w:pPr>
        <w:pStyle w:val="Heading2"/>
        <w:jc w:val="both"/>
        <w:rPr>
          <w:lang w:val="en-US"/>
        </w:rPr>
      </w:pPr>
      <w:bookmarkStart w:id="5" w:name="_Toc33005672"/>
      <w:r w:rsidRPr="005A711B">
        <w:rPr>
          <w:lang w:val="en-US"/>
        </w:rPr>
        <w:lastRenderedPageBreak/>
        <w:t>Decision-making related to t</w:t>
      </w:r>
      <w:r>
        <w:rPr>
          <w:lang w:val="en-US"/>
        </w:rPr>
        <w:t>he CEO</w:t>
      </w:r>
      <w:r w:rsidR="00137E3E">
        <w:rPr>
          <w:lang w:val="en-US"/>
        </w:rPr>
        <w:t xml:space="preserve">’s </w:t>
      </w:r>
      <w:proofErr w:type="gramStart"/>
      <w:r w:rsidR="00137E3E">
        <w:rPr>
          <w:lang w:val="en-US"/>
        </w:rPr>
        <w:t>remuneration</w:t>
      </w:r>
      <w:bookmarkEnd w:id="5"/>
      <w:proofErr w:type="gramEnd"/>
      <w:r w:rsidR="00137E3E">
        <w:rPr>
          <w:lang w:val="en-US"/>
        </w:rPr>
        <w:t xml:space="preserve"> </w:t>
      </w:r>
    </w:p>
    <w:p w14:paraId="7203EF68" w14:textId="2A36C791" w:rsidR="00E35FE9" w:rsidRDefault="00E35FE9" w:rsidP="001F3986">
      <w:pPr>
        <w:jc w:val="both"/>
        <w:rPr>
          <w:lang w:val="en-US"/>
        </w:rPr>
      </w:pPr>
      <w:r w:rsidRPr="00E35FE9">
        <w:rPr>
          <w:lang w:val="en-US"/>
        </w:rPr>
        <w:t xml:space="preserve">The Board decides on the CEO’s remuneration. </w:t>
      </w:r>
      <w:r>
        <w:rPr>
          <w:lang w:val="en-US"/>
        </w:rPr>
        <w:t xml:space="preserve">The CEO’s remuneration is implemented in accordance with the presented Remuneration Policy. The Board monitors and evaluates annually the remuneration and ensures that it is accordant with the Remuneration Policy. </w:t>
      </w:r>
    </w:p>
    <w:p w14:paraId="60CF3DB5" w14:textId="71212D1D" w:rsidR="00464ADB" w:rsidRPr="00EA14A4" w:rsidRDefault="00EA14A4" w:rsidP="001F3986">
      <w:pPr>
        <w:jc w:val="both"/>
        <w:rPr>
          <w:lang w:val="en-US" w:eastAsia="fi-FI"/>
        </w:rPr>
      </w:pPr>
      <w:r>
        <w:rPr>
          <w:lang w:val="en-US" w:eastAsia="fi-FI"/>
        </w:rPr>
        <w:t>In the decision-making process of remuneration, p</w:t>
      </w:r>
      <w:r w:rsidR="00464ADB" w:rsidRPr="00EA14A4">
        <w:rPr>
          <w:lang w:val="en-US" w:eastAsia="fi-FI"/>
        </w:rPr>
        <w:t xml:space="preserve">otential </w:t>
      </w:r>
      <w:r w:rsidRPr="00EA14A4">
        <w:rPr>
          <w:lang w:val="en-US" w:eastAsia="fi-FI"/>
        </w:rPr>
        <w:t>conflict</w:t>
      </w:r>
      <w:r>
        <w:rPr>
          <w:lang w:val="en-US" w:eastAsia="fi-FI"/>
        </w:rPr>
        <w:t>s</w:t>
      </w:r>
      <w:r w:rsidRPr="00EA14A4">
        <w:rPr>
          <w:lang w:val="en-US" w:eastAsia="fi-FI"/>
        </w:rPr>
        <w:t xml:space="preserve"> of interests have</w:t>
      </w:r>
      <w:r>
        <w:rPr>
          <w:lang w:val="en-US" w:eastAsia="fi-FI"/>
        </w:rPr>
        <w:t xml:space="preserve"> been </w:t>
      </w:r>
      <w:proofErr w:type="gramStart"/>
      <w:r>
        <w:rPr>
          <w:lang w:val="en-US" w:eastAsia="fi-FI"/>
        </w:rPr>
        <w:t>taken into account</w:t>
      </w:r>
      <w:proofErr w:type="gramEnd"/>
      <w:r>
        <w:rPr>
          <w:lang w:val="en-US" w:eastAsia="fi-FI"/>
        </w:rPr>
        <w:t xml:space="preserve">. </w:t>
      </w:r>
      <w:proofErr w:type="gramStart"/>
      <w:r>
        <w:rPr>
          <w:lang w:val="en-US" w:eastAsia="fi-FI"/>
        </w:rPr>
        <w:t>In order to</w:t>
      </w:r>
      <w:proofErr w:type="gramEnd"/>
      <w:r>
        <w:rPr>
          <w:lang w:val="en-US" w:eastAsia="fi-FI"/>
        </w:rPr>
        <w:t xml:space="preserve"> avoid conflicts of interests, t</w:t>
      </w:r>
      <w:r w:rsidRPr="00EA14A4">
        <w:rPr>
          <w:lang w:val="en-US" w:eastAsia="fi-FI"/>
        </w:rPr>
        <w:t xml:space="preserve">he CEO is not a member of </w:t>
      </w:r>
      <w:r>
        <w:rPr>
          <w:lang w:val="en-US" w:eastAsia="fi-FI"/>
        </w:rPr>
        <w:t xml:space="preserve">the Board </w:t>
      </w:r>
      <w:r w:rsidRPr="00EA14A4">
        <w:rPr>
          <w:lang w:val="en-US" w:eastAsia="fi-FI"/>
        </w:rPr>
        <w:t>and is not in any way involved in the decision-making process regarding his or her remuneration.</w:t>
      </w:r>
    </w:p>
    <w:p w14:paraId="0AA2AABD" w14:textId="3E9D82B5" w:rsidR="00EA14A4" w:rsidRPr="00EA14A4" w:rsidRDefault="00EA14A4" w:rsidP="001F3986">
      <w:pPr>
        <w:jc w:val="both"/>
        <w:rPr>
          <w:lang w:val="en-US" w:eastAsia="fi-FI"/>
        </w:rPr>
      </w:pPr>
      <w:r w:rsidRPr="00EA14A4">
        <w:rPr>
          <w:lang w:val="en-US" w:eastAsia="fi-FI"/>
        </w:rPr>
        <w:t>The Company’s shares, stock o</w:t>
      </w:r>
      <w:r>
        <w:rPr>
          <w:lang w:val="en-US" w:eastAsia="fi-FI"/>
        </w:rPr>
        <w:t xml:space="preserve">ptions or other special rights entitling to shares </w:t>
      </w:r>
      <w:r w:rsidR="0054210A">
        <w:rPr>
          <w:lang w:val="en-US" w:eastAsia="fi-FI"/>
        </w:rPr>
        <w:t>may</w:t>
      </w:r>
      <w:r w:rsidR="004517BB">
        <w:rPr>
          <w:lang w:val="en-US" w:eastAsia="fi-FI"/>
        </w:rPr>
        <w:t xml:space="preserve"> be used in the CEO’s remuneration, which promotes the alignment of the interest</w:t>
      </w:r>
      <w:r w:rsidR="00137E3E">
        <w:rPr>
          <w:lang w:val="en-US" w:eastAsia="fi-FI"/>
        </w:rPr>
        <w:t>s</w:t>
      </w:r>
      <w:r w:rsidR="004517BB">
        <w:rPr>
          <w:lang w:val="en-US" w:eastAsia="fi-FI"/>
        </w:rPr>
        <w:t xml:space="preserve"> of the CEO and the shareholders.  </w:t>
      </w:r>
      <w:r w:rsidR="003056BF">
        <w:rPr>
          <w:lang w:val="en-US" w:eastAsia="fi-FI"/>
        </w:rPr>
        <w:t>The Board authorized by the General Meeting or the General Meeting decides on the issue of shares, stock options or other special rights entitling to shares</w:t>
      </w:r>
      <w:r w:rsidR="0054210A">
        <w:rPr>
          <w:lang w:val="en-US" w:eastAsia="fi-FI"/>
        </w:rPr>
        <w:t xml:space="preserve"> potentially used in the remuneration.  </w:t>
      </w:r>
    </w:p>
    <w:p w14:paraId="79BEC053" w14:textId="36C6AA26" w:rsidR="0096344F" w:rsidRPr="00EA3B5F" w:rsidRDefault="00EA3B5F" w:rsidP="001F3986">
      <w:pPr>
        <w:pStyle w:val="Heading1"/>
        <w:jc w:val="both"/>
        <w:rPr>
          <w:lang w:val="en-US"/>
        </w:rPr>
      </w:pPr>
      <w:bookmarkStart w:id="6" w:name="_Toc33005673"/>
      <w:r w:rsidRPr="00EA3B5F">
        <w:rPr>
          <w:lang w:val="en-US"/>
        </w:rPr>
        <w:t xml:space="preserve">Remuneration of </w:t>
      </w:r>
      <w:r w:rsidR="00917061">
        <w:rPr>
          <w:lang w:val="en-US"/>
        </w:rPr>
        <w:t xml:space="preserve">the </w:t>
      </w:r>
      <w:r w:rsidRPr="00EA3B5F">
        <w:rPr>
          <w:lang w:val="en-US"/>
        </w:rPr>
        <w:t>Board</w:t>
      </w:r>
      <w:bookmarkEnd w:id="6"/>
      <w:r w:rsidRPr="00EA3B5F">
        <w:rPr>
          <w:lang w:val="en-US"/>
        </w:rPr>
        <w:t xml:space="preserve"> </w:t>
      </w:r>
    </w:p>
    <w:p w14:paraId="7E759770" w14:textId="67027B66" w:rsidR="00540417" w:rsidRDefault="00540417" w:rsidP="001F3986">
      <w:pPr>
        <w:jc w:val="both"/>
        <w:rPr>
          <w:lang w:val="en-US" w:eastAsia="fi-FI"/>
        </w:rPr>
      </w:pPr>
      <w:r w:rsidRPr="00540417">
        <w:rPr>
          <w:lang w:val="en-US" w:eastAsia="fi-FI"/>
        </w:rPr>
        <w:t xml:space="preserve">In the General </w:t>
      </w:r>
      <w:r w:rsidR="00137E3E">
        <w:rPr>
          <w:lang w:val="en-US" w:eastAsia="fi-FI"/>
        </w:rPr>
        <w:t>M</w:t>
      </w:r>
      <w:r w:rsidRPr="00540417">
        <w:rPr>
          <w:lang w:val="en-US" w:eastAsia="fi-FI"/>
        </w:rPr>
        <w:t xml:space="preserve">eeting, the shareholders of </w:t>
      </w:r>
      <w:r w:rsidR="00B442BB" w:rsidRPr="00540417">
        <w:rPr>
          <w:lang w:val="en-US" w:eastAsia="fi-FI"/>
        </w:rPr>
        <w:t>QPR Software</w:t>
      </w:r>
      <w:r w:rsidRPr="00540417">
        <w:rPr>
          <w:lang w:val="en-US" w:eastAsia="fi-FI"/>
        </w:rPr>
        <w:t xml:space="preserve"> decide on the </w:t>
      </w:r>
      <w:r w:rsidR="00E20654">
        <w:rPr>
          <w:lang w:val="en-US" w:eastAsia="fi-FI"/>
        </w:rPr>
        <w:t>Board</w:t>
      </w:r>
      <w:r w:rsidR="00137E3E">
        <w:rPr>
          <w:lang w:val="en-US" w:eastAsia="fi-FI"/>
        </w:rPr>
        <w:t>’s</w:t>
      </w:r>
      <w:r w:rsidR="00E20654">
        <w:rPr>
          <w:lang w:val="en-US" w:eastAsia="fi-FI"/>
        </w:rPr>
        <w:t xml:space="preserve"> </w:t>
      </w:r>
      <w:r w:rsidRPr="00540417">
        <w:rPr>
          <w:lang w:val="en-US" w:eastAsia="fi-FI"/>
        </w:rPr>
        <w:t xml:space="preserve">remuneration </w:t>
      </w:r>
      <w:r>
        <w:rPr>
          <w:lang w:val="en-US" w:eastAsia="fi-FI"/>
        </w:rPr>
        <w:t xml:space="preserve">in accordance with the Remuneration Policy and </w:t>
      </w:r>
      <w:r w:rsidR="00E20654">
        <w:rPr>
          <w:lang w:val="en-US" w:eastAsia="fi-FI"/>
        </w:rPr>
        <w:t xml:space="preserve">applicable laws and regulations. </w:t>
      </w:r>
    </w:p>
    <w:p w14:paraId="39A2E3BF" w14:textId="1292BC27" w:rsidR="00E20654" w:rsidRPr="00E20654" w:rsidRDefault="00E20654" w:rsidP="001F3986">
      <w:pPr>
        <w:jc w:val="both"/>
        <w:rPr>
          <w:lang w:val="en-US" w:eastAsia="fi-FI"/>
        </w:rPr>
      </w:pPr>
      <w:r w:rsidRPr="00E20654">
        <w:rPr>
          <w:lang w:val="en-US" w:eastAsia="fi-FI"/>
        </w:rPr>
        <w:t xml:space="preserve">The </w:t>
      </w:r>
      <w:r>
        <w:rPr>
          <w:lang w:val="en-US" w:eastAsia="fi-FI"/>
        </w:rPr>
        <w:t xml:space="preserve">Board </w:t>
      </w:r>
      <w:r w:rsidRPr="00E20654">
        <w:rPr>
          <w:lang w:val="en-US" w:eastAsia="fi-FI"/>
        </w:rPr>
        <w:t xml:space="preserve">remuneration </w:t>
      </w:r>
      <w:r w:rsidR="00AE07C7">
        <w:rPr>
          <w:lang w:val="en-US" w:eastAsia="fi-FI"/>
        </w:rPr>
        <w:t xml:space="preserve">shall </w:t>
      </w:r>
      <w:r>
        <w:rPr>
          <w:lang w:val="en-US" w:eastAsia="fi-FI"/>
        </w:rPr>
        <w:t xml:space="preserve">reflect </w:t>
      </w:r>
      <w:r w:rsidR="00922D05">
        <w:rPr>
          <w:lang w:val="en-US" w:eastAsia="fi-FI"/>
        </w:rPr>
        <w:t xml:space="preserve">in a fair and proportionate manner </w:t>
      </w:r>
      <w:r>
        <w:rPr>
          <w:lang w:val="en-US" w:eastAsia="fi-FI"/>
        </w:rPr>
        <w:t xml:space="preserve">the competencies and efforts required from each Board member </w:t>
      </w:r>
      <w:r w:rsidR="00917061">
        <w:rPr>
          <w:lang w:val="en-US" w:eastAsia="fi-FI"/>
        </w:rPr>
        <w:t xml:space="preserve">to fulfill his or her duties. </w:t>
      </w:r>
    </w:p>
    <w:p w14:paraId="661AD22E" w14:textId="5E840A81" w:rsidR="00C217E0" w:rsidRPr="00D460C7" w:rsidRDefault="00D460C7" w:rsidP="001F3986">
      <w:pPr>
        <w:jc w:val="both"/>
        <w:rPr>
          <w:lang w:val="en-US" w:eastAsia="fi-FI"/>
        </w:rPr>
      </w:pPr>
      <w:r w:rsidRPr="00D460C7">
        <w:rPr>
          <w:lang w:val="en-US" w:eastAsia="fi-FI"/>
        </w:rPr>
        <w:t>If a Board member is e</w:t>
      </w:r>
      <w:r>
        <w:rPr>
          <w:lang w:val="en-US" w:eastAsia="fi-FI"/>
        </w:rPr>
        <w:t xml:space="preserve">mployed by or in the service of the Company, the General Meeting decides on the remuneration paid to him or her for the work as a Board member. The employment or service terms of the Board member are determined in accordance with the Company’s normal practice according to his or her duties and roles.  </w:t>
      </w:r>
    </w:p>
    <w:p w14:paraId="09A2CC78" w14:textId="39F27B0E" w:rsidR="0096344F" w:rsidRPr="003817C6" w:rsidRDefault="0031157B" w:rsidP="001F3986">
      <w:pPr>
        <w:pStyle w:val="Heading1"/>
        <w:jc w:val="both"/>
        <w:rPr>
          <w:lang w:val="en-US"/>
        </w:rPr>
      </w:pPr>
      <w:bookmarkStart w:id="7" w:name="_Toc33005674"/>
      <w:r w:rsidRPr="003817C6">
        <w:rPr>
          <w:lang w:val="en-US"/>
        </w:rPr>
        <w:t>CEO</w:t>
      </w:r>
      <w:r w:rsidR="009504AB" w:rsidRPr="003817C6">
        <w:rPr>
          <w:lang w:val="en-US"/>
        </w:rPr>
        <w:t>’s</w:t>
      </w:r>
      <w:r w:rsidRPr="003817C6">
        <w:rPr>
          <w:lang w:val="en-US"/>
        </w:rPr>
        <w:t xml:space="preserve"> Remuneration</w:t>
      </w:r>
      <w:bookmarkEnd w:id="7"/>
      <w:r w:rsidRPr="003817C6">
        <w:rPr>
          <w:lang w:val="en-US"/>
        </w:rPr>
        <w:t xml:space="preserve"> </w:t>
      </w:r>
    </w:p>
    <w:p w14:paraId="458ADB54" w14:textId="54E1BBF6" w:rsidR="003107C5" w:rsidRPr="003817C6" w:rsidRDefault="0031157B" w:rsidP="001F3986">
      <w:pPr>
        <w:pStyle w:val="Heading2"/>
        <w:jc w:val="both"/>
        <w:rPr>
          <w:lang w:val="en-US"/>
        </w:rPr>
      </w:pPr>
      <w:bookmarkStart w:id="8" w:name="_Toc33005675"/>
      <w:r w:rsidRPr="003817C6">
        <w:rPr>
          <w:lang w:val="en-US"/>
        </w:rPr>
        <w:t>Remuneration elements</w:t>
      </w:r>
      <w:bookmarkEnd w:id="8"/>
    </w:p>
    <w:p w14:paraId="76848F5C" w14:textId="7B944EF3" w:rsidR="009504AB" w:rsidRPr="009504AB" w:rsidRDefault="009504AB" w:rsidP="00AF5215">
      <w:pPr>
        <w:jc w:val="both"/>
        <w:rPr>
          <w:lang w:val="en-US"/>
        </w:rPr>
      </w:pPr>
      <w:r w:rsidRPr="009504AB">
        <w:rPr>
          <w:lang w:val="en-US"/>
        </w:rPr>
        <w:t xml:space="preserve">The CEO’s remuneration consists of </w:t>
      </w:r>
      <w:r w:rsidR="00137E3E">
        <w:rPr>
          <w:lang w:val="en-US"/>
        </w:rPr>
        <w:t xml:space="preserve">a </w:t>
      </w:r>
      <w:r w:rsidRPr="009504AB">
        <w:rPr>
          <w:lang w:val="en-US"/>
        </w:rPr>
        <w:t>fixed base salary with fringe</w:t>
      </w:r>
      <w:r>
        <w:rPr>
          <w:lang w:val="en-US"/>
        </w:rPr>
        <w:t xml:space="preserve"> benefits, </w:t>
      </w:r>
      <w:r w:rsidR="00137E3E">
        <w:rPr>
          <w:lang w:val="en-US"/>
        </w:rPr>
        <w:t xml:space="preserve">a </w:t>
      </w:r>
      <w:r>
        <w:rPr>
          <w:lang w:val="en-US"/>
        </w:rPr>
        <w:t>performance-based bonus</w:t>
      </w:r>
      <w:r w:rsidR="006631D7">
        <w:rPr>
          <w:lang w:val="en-US"/>
        </w:rPr>
        <w:t xml:space="preserve"> scheme </w:t>
      </w:r>
      <w:r>
        <w:rPr>
          <w:lang w:val="en-US"/>
        </w:rPr>
        <w:t xml:space="preserve">and potential long-term incentive plans. </w:t>
      </w:r>
      <w:r w:rsidRPr="009504AB">
        <w:rPr>
          <w:lang w:val="en-US"/>
        </w:rPr>
        <w:t xml:space="preserve"> </w:t>
      </w:r>
    </w:p>
    <w:p w14:paraId="7FFCDFBD" w14:textId="5FD3431F" w:rsidR="009504AB" w:rsidRPr="009504AB" w:rsidRDefault="009504AB" w:rsidP="00AF5215">
      <w:pPr>
        <w:jc w:val="both"/>
        <w:rPr>
          <w:lang w:val="en-US"/>
        </w:rPr>
      </w:pPr>
      <w:r w:rsidRPr="009504AB">
        <w:rPr>
          <w:lang w:val="en-US"/>
        </w:rPr>
        <w:t>The fixed base salary i</w:t>
      </w:r>
      <w:r>
        <w:rPr>
          <w:lang w:val="en-US"/>
        </w:rPr>
        <w:t xml:space="preserve">s the base for the CEO’s total remuneration, and it is meant to be competitive and reflect the size and development stage of the business as well as the CEO’ individual skills and experience. </w:t>
      </w:r>
      <w:r w:rsidRPr="009504AB">
        <w:rPr>
          <w:lang w:val="en-US"/>
        </w:rPr>
        <w:t>The</w:t>
      </w:r>
      <w:r>
        <w:rPr>
          <w:lang w:val="en-US"/>
        </w:rPr>
        <w:t xml:space="preserve"> </w:t>
      </w:r>
      <w:r w:rsidRPr="009504AB">
        <w:rPr>
          <w:lang w:val="en-US"/>
        </w:rPr>
        <w:t>fixed base salary</w:t>
      </w:r>
      <w:r w:rsidR="00137E3E">
        <w:rPr>
          <w:lang w:val="en-US"/>
        </w:rPr>
        <w:t xml:space="preserve"> </w:t>
      </w:r>
      <w:r w:rsidRPr="009504AB">
        <w:rPr>
          <w:lang w:val="en-US"/>
        </w:rPr>
        <w:t>forms the largest portion of t</w:t>
      </w:r>
      <w:r>
        <w:rPr>
          <w:lang w:val="en-US"/>
        </w:rPr>
        <w:t>he CEO’s total remuneration</w:t>
      </w:r>
      <w:r w:rsidR="00AE07C7" w:rsidRPr="00AE07C7">
        <w:rPr>
          <w:lang w:val="en-US"/>
        </w:rPr>
        <w:t xml:space="preserve"> </w:t>
      </w:r>
      <w:r w:rsidR="00AE07C7">
        <w:rPr>
          <w:lang w:val="en-US"/>
        </w:rPr>
        <w:t>on target level</w:t>
      </w:r>
      <w:r>
        <w:rPr>
          <w:lang w:val="en-US"/>
        </w:rPr>
        <w:t xml:space="preserve">. </w:t>
      </w:r>
    </w:p>
    <w:p w14:paraId="5010CCF5" w14:textId="3D184BE0" w:rsidR="001331E2" w:rsidRPr="001331E2" w:rsidRDefault="00992817" w:rsidP="00AF5215">
      <w:pPr>
        <w:jc w:val="both"/>
        <w:rPr>
          <w:lang w:val="en-US"/>
        </w:rPr>
      </w:pPr>
      <w:r w:rsidRPr="00992817">
        <w:rPr>
          <w:lang w:val="en-US"/>
        </w:rPr>
        <w:t>The b</w:t>
      </w:r>
      <w:r>
        <w:rPr>
          <w:lang w:val="en-US"/>
        </w:rPr>
        <w:t>onus</w:t>
      </w:r>
      <w:r w:rsidR="0030344E">
        <w:rPr>
          <w:lang w:val="en-US"/>
        </w:rPr>
        <w:t xml:space="preserve"> aims</w:t>
      </w:r>
      <w:r>
        <w:rPr>
          <w:lang w:val="en-US"/>
        </w:rPr>
        <w:t xml:space="preserve"> </w:t>
      </w:r>
      <w:r w:rsidR="0030344E">
        <w:rPr>
          <w:lang w:val="en-US"/>
        </w:rPr>
        <w:t xml:space="preserve">to </w:t>
      </w:r>
      <w:r w:rsidR="00AE07C7">
        <w:rPr>
          <w:lang w:val="en-US"/>
        </w:rPr>
        <w:t xml:space="preserve">steer </w:t>
      </w:r>
      <w:r w:rsidR="0030344E">
        <w:rPr>
          <w:lang w:val="en-US"/>
        </w:rPr>
        <w:t>the CEO to achieve the Company’s short-term financial and operative targets as well as to support the</w:t>
      </w:r>
      <w:r w:rsidR="00137E3E">
        <w:rPr>
          <w:lang w:val="en-US"/>
        </w:rPr>
        <w:t xml:space="preserve"> </w:t>
      </w:r>
      <w:r w:rsidR="0030344E">
        <w:rPr>
          <w:lang w:val="en-US"/>
        </w:rPr>
        <w:t>implementation of the Company’s strategy</w:t>
      </w:r>
      <w:r w:rsidR="00AE07C7">
        <w:rPr>
          <w:lang w:val="en-US"/>
        </w:rPr>
        <w:t xml:space="preserve"> in the short</w:t>
      </w:r>
      <w:r w:rsidR="0007706F">
        <w:rPr>
          <w:lang w:val="en-US"/>
        </w:rPr>
        <w:t>-</w:t>
      </w:r>
      <w:r w:rsidR="00AE07C7">
        <w:rPr>
          <w:lang w:val="en-US"/>
        </w:rPr>
        <w:t>term</w:t>
      </w:r>
      <w:r w:rsidR="0030344E">
        <w:rPr>
          <w:lang w:val="en-US"/>
        </w:rPr>
        <w:t xml:space="preserve">. The Board sets the targets for the bonus separately for each year, and they are, in accordance with the Company’s strategy, based on growth, profitability and/or potential other </w:t>
      </w:r>
      <w:r w:rsidR="001331E2">
        <w:rPr>
          <w:lang w:val="en-US"/>
        </w:rPr>
        <w:t>primarily</w:t>
      </w:r>
      <w:r w:rsidR="0030344E">
        <w:rPr>
          <w:lang w:val="en-US"/>
        </w:rPr>
        <w:t xml:space="preserve"> numeric</w:t>
      </w:r>
      <w:r w:rsidR="001331E2">
        <w:rPr>
          <w:lang w:val="en-US"/>
        </w:rPr>
        <w:t xml:space="preserve"> </w:t>
      </w:r>
      <w:r w:rsidR="00AE07C7">
        <w:rPr>
          <w:lang w:val="en-US"/>
        </w:rPr>
        <w:t xml:space="preserve">metrics </w:t>
      </w:r>
      <w:r w:rsidR="001331E2">
        <w:rPr>
          <w:lang w:val="en-US"/>
        </w:rPr>
        <w:t xml:space="preserve">based on the </w:t>
      </w:r>
      <w:r w:rsidR="00137E3E">
        <w:rPr>
          <w:lang w:val="en-US"/>
        </w:rPr>
        <w:t>implementation</w:t>
      </w:r>
      <w:r w:rsidR="001331E2">
        <w:rPr>
          <w:lang w:val="en-US"/>
        </w:rPr>
        <w:t xml:space="preserve"> of the strategy.</w:t>
      </w:r>
      <w:r w:rsidR="00137E3E">
        <w:rPr>
          <w:lang w:val="en-US"/>
        </w:rPr>
        <w:t xml:space="preserve"> </w:t>
      </w:r>
      <w:r w:rsidR="001331E2" w:rsidRPr="001331E2">
        <w:rPr>
          <w:lang w:val="en-US"/>
        </w:rPr>
        <w:t>The bonus</w:t>
      </w:r>
      <w:r w:rsidR="001331E2">
        <w:rPr>
          <w:lang w:val="en-US"/>
        </w:rPr>
        <w:t xml:space="preserve"> confirmed by the Board and</w:t>
      </w:r>
      <w:r w:rsidR="001331E2" w:rsidRPr="001331E2">
        <w:rPr>
          <w:lang w:val="en-US"/>
        </w:rPr>
        <w:t xml:space="preserve"> based on a</w:t>
      </w:r>
      <w:r w:rsidR="001331E2">
        <w:rPr>
          <w:lang w:val="en-US"/>
        </w:rPr>
        <w:t xml:space="preserve">chievement of the </w:t>
      </w:r>
      <w:r w:rsidR="00137E3E">
        <w:rPr>
          <w:lang w:val="en-US"/>
        </w:rPr>
        <w:t xml:space="preserve">performance </w:t>
      </w:r>
      <w:r w:rsidR="001331E2">
        <w:rPr>
          <w:lang w:val="en-US"/>
        </w:rPr>
        <w:t>criteria is paid in cash after the</w:t>
      </w:r>
      <w:r w:rsidR="00AE07C7">
        <w:rPr>
          <w:lang w:val="en-US"/>
        </w:rPr>
        <w:t xml:space="preserve"> one-year</w:t>
      </w:r>
      <w:r w:rsidR="001331E2">
        <w:rPr>
          <w:lang w:val="en-US"/>
        </w:rPr>
        <w:t xml:space="preserve"> performance period.</w:t>
      </w:r>
      <w:r w:rsidR="002C4B01">
        <w:rPr>
          <w:lang w:val="en-US"/>
        </w:rPr>
        <w:t xml:space="preserve"> </w:t>
      </w:r>
      <w:r w:rsidR="002C4B01" w:rsidRPr="002C4B01">
        <w:rPr>
          <w:lang w:val="en-US"/>
        </w:rPr>
        <w:t xml:space="preserve">In 2024, the amount of the annual performance bonus has been set at the target level to correspond to three months' salary, and if the </w:t>
      </w:r>
      <w:r w:rsidR="002C4B01">
        <w:rPr>
          <w:lang w:val="en-US"/>
        </w:rPr>
        <w:t>targets</w:t>
      </w:r>
      <w:r w:rsidR="002C4B01" w:rsidRPr="002C4B01">
        <w:rPr>
          <w:lang w:val="en-US"/>
        </w:rPr>
        <w:t xml:space="preserve"> set by the </w:t>
      </w:r>
      <w:r w:rsidR="002C4B01">
        <w:rPr>
          <w:lang w:val="en-US"/>
        </w:rPr>
        <w:t>B</w:t>
      </w:r>
      <w:r w:rsidR="002C4B01" w:rsidRPr="002C4B01">
        <w:rPr>
          <w:lang w:val="en-US"/>
        </w:rPr>
        <w:t>oard are exceeded, it can rise to a maximum of 130 percent of three months' salary.</w:t>
      </w:r>
      <w:r w:rsidR="002C4B01" w:rsidRPr="001331E2">
        <w:rPr>
          <w:lang w:val="en-US"/>
        </w:rPr>
        <w:t xml:space="preserve"> </w:t>
      </w:r>
    </w:p>
    <w:p w14:paraId="1C29219E" w14:textId="3097BFC1" w:rsidR="00507190" w:rsidRPr="00507190" w:rsidRDefault="00507190" w:rsidP="00AF5215">
      <w:pPr>
        <w:jc w:val="both"/>
        <w:rPr>
          <w:lang w:val="en-US"/>
        </w:rPr>
      </w:pPr>
      <w:r w:rsidRPr="00507190">
        <w:rPr>
          <w:lang w:val="en-US"/>
        </w:rPr>
        <w:t>The potential long-term i</w:t>
      </w:r>
      <w:r>
        <w:rPr>
          <w:lang w:val="en-US"/>
        </w:rPr>
        <w:t xml:space="preserve">ncentive plans </w:t>
      </w:r>
      <w:r w:rsidR="0007706F">
        <w:rPr>
          <w:lang w:val="en-US"/>
        </w:rPr>
        <w:t xml:space="preserve">are intended </w:t>
      </w:r>
      <w:r>
        <w:rPr>
          <w:lang w:val="en-US"/>
        </w:rPr>
        <w:t xml:space="preserve">to </w:t>
      </w:r>
      <w:r w:rsidR="00AE07C7">
        <w:rPr>
          <w:lang w:val="en-US"/>
        </w:rPr>
        <w:t xml:space="preserve">steer </w:t>
      </w:r>
      <w:r>
        <w:rPr>
          <w:lang w:val="en-US"/>
        </w:rPr>
        <w:t xml:space="preserve">the CEO to </w:t>
      </w:r>
      <w:r w:rsidR="0007706F">
        <w:rPr>
          <w:lang w:val="en-US"/>
        </w:rPr>
        <w:t xml:space="preserve">execute </w:t>
      </w:r>
      <w:r>
        <w:rPr>
          <w:lang w:val="en-US"/>
        </w:rPr>
        <w:t xml:space="preserve">the Company’s strategy and </w:t>
      </w:r>
      <w:r w:rsidR="00137E3E">
        <w:rPr>
          <w:lang w:val="en-US"/>
        </w:rPr>
        <w:t xml:space="preserve">to </w:t>
      </w:r>
      <w:r>
        <w:rPr>
          <w:lang w:val="en-US"/>
        </w:rPr>
        <w:t>increase the shareholder value in the long-term as well as to commit the CEO to the Company. The Board decides on the establishment of the long-term incentive plans as it deems appropriate, so that the total remuneration best support</w:t>
      </w:r>
      <w:r w:rsidR="00137E3E">
        <w:rPr>
          <w:lang w:val="en-US"/>
        </w:rPr>
        <w:t>s</w:t>
      </w:r>
      <w:r>
        <w:rPr>
          <w:lang w:val="en-US"/>
        </w:rPr>
        <w:t xml:space="preserve"> the Company’s business strategy and shareholder value </w:t>
      </w:r>
      <w:r w:rsidR="00137E3E">
        <w:rPr>
          <w:lang w:val="en-US"/>
        </w:rPr>
        <w:t>increase</w:t>
      </w:r>
      <w:r>
        <w:rPr>
          <w:lang w:val="en-US"/>
        </w:rPr>
        <w:t xml:space="preserve"> in the long-term. </w:t>
      </w:r>
    </w:p>
    <w:p w14:paraId="49F22C3F" w14:textId="48A420A3" w:rsidR="0094455C" w:rsidRPr="00507190" w:rsidRDefault="00507190" w:rsidP="00AF5215">
      <w:pPr>
        <w:jc w:val="both"/>
        <w:rPr>
          <w:lang w:val="en-US"/>
        </w:rPr>
      </w:pPr>
      <w:r>
        <w:rPr>
          <w:lang w:val="en-US"/>
        </w:rPr>
        <w:lastRenderedPageBreak/>
        <w:t xml:space="preserve">Long-term incentive plans may be e.g. share-based stock option plans or share plans, and their performance criteria may be based e.g. on the total shareholder return, the Company’s financial key figures or the Company’s strategic targets.  The total time span of the plans is always at least 3 years so that the long-term incentive plans are aligned with the </w:t>
      </w:r>
      <w:r w:rsidR="00AE07C7">
        <w:rPr>
          <w:lang w:val="en-US"/>
        </w:rPr>
        <w:t xml:space="preserve">interests </w:t>
      </w:r>
      <w:r>
        <w:rPr>
          <w:lang w:val="en-US"/>
        </w:rPr>
        <w:t xml:space="preserve">of the shareholders in the long-term. The rewards to be </w:t>
      </w:r>
      <w:r w:rsidR="003A4072">
        <w:rPr>
          <w:lang w:val="en-US"/>
        </w:rPr>
        <w:t>realized</w:t>
      </w:r>
      <w:r>
        <w:rPr>
          <w:lang w:val="en-US"/>
        </w:rPr>
        <w:t xml:space="preserve"> based on the long-term incentive plans</w:t>
      </w:r>
      <w:r w:rsidR="0094455C">
        <w:rPr>
          <w:lang w:val="en-US"/>
        </w:rPr>
        <w:t xml:space="preserve"> may form a substantial portion of the CEO’s total remuneration if the Company’s shareholder value creation is remarkable. </w:t>
      </w:r>
    </w:p>
    <w:p w14:paraId="7B8B86E0" w14:textId="57E1CF87" w:rsidR="003107C5" w:rsidRPr="00137E3E" w:rsidRDefault="003817C6" w:rsidP="001F3986">
      <w:pPr>
        <w:pStyle w:val="Heading2"/>
        <w:jc w:val="both"/>
        <w:rPr>
          <w:lang w:val="en-US"/>
        </w:rPr>
      </w:pPr>
      <w:bookmarkStart w:id="9" w:name="_Toc33005676"/>
      <w:r w:rsidRPr="00137E3E">
        <w:rPr>
          <w:lang w:val="en-US"/>
        </w:rPr>
        <w:t>Main terms of service</w:t>
      </w:r>
      <w:bookmarkEnd w:id="9"/>
      <w:r w:rsidRPr="00137E3E">
        <w:rPr>
          <w:lang w:val="en-US"/>
        </w:rPr>
        <w:t xml:space="preserve"> </w:t>
      </w:r>
    </w:p>
    <w:p w14:paraId="3B52ED59" w14:textId="50D6B0D3" w:rsidR="00C94AFF" w:rsidRPr="00C94AFF" w:rsidRDefault="003817C6" w:rsidP="001F3986">
      <w:pPr>
        <w:jc w:val="both"/>
        <w:rPr>
          <w:lang w:val="en-US"/>
        </w:rPr>
      </w:pPr>
      <w:r w:rsidRPr="003A3949">
        <w:rPr>
          <w:lang w:val="en-US"/>
        </w:rPr>
        <w:t xml:space="preserve">The </w:t>
      </w:r>
      <w:r w:rsidR="00896E3F" w:rsidRPr="003A3949">
        <w:rPr>
          <w:lang w:val="en-US"/>
        </w:rPr>
        <w:t>CEO’s retirement</w:t>
      </w:r>
      <w:r w:rsidRPr="003A3949">
        <w:rPr>
          <w:lang w:val="en-US"/>
        </w:rPr>
        <w:t xml:space="preserve"> age and pension benefits </w:t>
      </w:r>
      <w:r w:rsidR="00896E3F" w:rsidRPr="003A3949">
        <w:rPr>
          <w:lang w:val="en-US"/>
        </w:rPr>
        <w:t>follow the Finnish Employee’s Pension Act, and the Company does not offer supplementary pension arrangements to the CEO.</w:t>
      </w:r>
      <w:r w:rsidR="00896E3F">
        <w:rPr>
          <w:lang w:val="en-US"/>
        </w:rPr>
        <w:t xml:space="preserve"> </w:t>
      </w:r>
      <w:r w:rsidR="00896E3F" w:rsidRPr="00137E3E">
        <w:rPr>
          <w:lang w:val="en-US"/>
        </w:rPr>
        <w:t xml:space="preserve">The CEO’s director contract is valid until further notice. </w:t>
      </w:r>
      <w:r w:rsidR="00896E3F" w:rsidRPr="00896E3F">
        <w:rPr>
          <w:lang w:val="en-US"/>
        </w:rPr>
        <w:t xml:space="preserve">The term of notice of the CEO’s </w:t>
      </w:r>
      <w:proofErr w:type="gramStart"/>
      <w:r w:rsidR="00137E3E">
        <w:rPr>
          <w:lang w:val="en-US"/>
        </w:rPr>
        <w:t>director</w:t>
      </w:r>
      <w:proofErr w:type="gramEnd"/>
      <w:r w:rsidR="00137E3E">
        <w:rPr>
          <w:lang w:val="en-US"/>
        </w:rPr>
        <w:t xml:space="preserve"> contract</w:t>
      </w:r>
      <w:r w:rsidR="00896E3F" w:rsidRPr="00896E3F">
        <w:rPr>
          <w:lang w:val="en-US"/>
        </w:rPr>
        <w:t xml:space="preserve"> is </w:t>
      </w:r>
      <w:r w:rsidR="009977D8">
        <w:rPr>
          <w:lang w:val="en-US"/>
        </w:rPr>
        <w:t>four</w:t>
      </w:r>
      <w:r w:rsidR="00896E3F" w:rsidRPr="00896E3F">
        <w:rPr>
          <w:lang w:val="en-US"/>
        </w:rPr>
        <w:t xml:space="preserve"> m</w:t>
      </w:r>
      <w:r w:rsidR="00896E3F">
        <w:rPr>
          <w:lang w:val="en-US"/>
        </w:rPr>
        <w:t>onths by either party</w:t>
      </w:r>
      <w:r w:rsidR="00C94AFF">
        <w:rPr>
          <w:lang w:val="en-US"/>
        </w:rPr>
        <w:t>,</w:t>
      </w:r>
      <w:r w:rsidR="00896E3F">
        <w:rPr>
          <w:lang w:val="en-US"/>
        </w:rPr>
        <w:t xml:space="preserve"> but the </w:t>
      </w:r>
      <w:r w:rsidR="00C94AFF">
        <w:rPr>
          <w:lang w:val="en-US"/>
        </w:rPr>
        <w:t>C</w:t>
      </w:r>
      <w:r w:rsidR="00896E3F">
        <w:rPr>
          <w:lang w:val="en-US"/>
        </w:rPr>
        <w:t>ompany has</w:t>
      </w:r>
      <w:r w:rsidR="00C94AFF">
        <w:rPr>
          <w:lang w:val="en-US"/>
        </w:rPr>
        <w:t xml:space="preserve"> at any time</w:t>
      </w:r>
      <w:r w:rsidR="00896E3F">
        <w:rPr>
          <w:lang w:val="en-US"/>
        </w:rPr>
        <w:t xml:space="preserve"> the right to release the CEO from his or her duties immediately without notice. </w:t>
      </w:r>
      <w:r w:rsidR="00C94AFF" w:rsidRPr="00C94AFF">
        <w:rPr>
          <w:lang w:val="en-US"/>
        </w:rPr>
        <w:t>In addition to the salary for the period of n</w:t>
      </w:r>
      <w:r w:rsidR="00C94AFF">
        <w:rPr>
          <w:lang w:val="en-US"/>
        </w:rPr>
        <w:t xml:space="preserve">otice, the CEO is entitled to </w:t>
      </w:r>
      <w:proofErr w:type="gramStart"/>
      <w:r w:rsidR="00C94AFF">
        <w:rPr>
          <w:lang w:val="en-US"/>
        </w:rPr>
        <w:t>a severance</w:t>
      </w:r>
      <w:proofErr w:type="gramEnd"/>
      <w:r w:rsidR="00C94AFF">
        <w:rPr>
          <w:lang w:val="en-US"/>
        </w:rPr>
        <w:t xml:space="preserve"> pay equal to </w:t>
      </w:r>
      <w:r w:rsidR="009977D8">
        <w:rPr>
          <w:lang w:val="en-US"/>
        </w:rPr>
        <w:t>three</w:t>
      </w:r>
      <w:r w:rsidR="00C94AFF">
        <w:rPr>
          <w:lang w:val="en-US"/>
        </w:rPr>
        <w:t xml:space="preserve"> months’ fixed base salary if the Company’ terminates the director contract. </w:t>
      </w:r>
      <w:r w:rsidR="00C94AFF" w:rsidRPr="00C94AFF">
        <w:rPr>
          <w:lang w:val="en-US"/>
        </w:rPr>
        <w:t xml:space="preserve">The CEO is subject to </w:t>
      </w:r>
      <w:proofErr w:type="spellStart"/>
      <w:proofErr w:type="gramStart"/>
      <w:r w:rsidR="00C94AFF" w:rsidRPr="00C94AFF">
        <w:rPr>
          <w:lang w:val="en-US"/>
        </w:rPr>
        <w:t>a</w:t>
      </w:r>
      <w:proofErr w:type="spellEnd"/>
      <w:proofErr w:type="gramEnd"/>
      <w:r w:rsidR="00C94AFF" w:rsidRPr="00C94AFF">
        <w:rPr>
          <w:lang w:val="en-US"/>
        </w:rPr>
        <w:t xml:space="preserve"> </w:t>
      </w:r>
      <w:r w:rsidR="009977D8">
        <w:rPr>
          <w:lang w:val="en-US"/>
        </w:rPr>
        <w:t>eight</w:t>
      </w:r>
      <w:r w:rsidR="00C94AFF" w:rsidRPr="00C94AFF">
        <w:rPr>
          <w:lang w:val="en-US"/>
        </w:rPr>
        <w:t>-month non-c</w:t>
      </w:r>
      <w:r w:rsidR="00C94AFF">
        <w:rPr>
          <w:lang w:val="en-US"/>
        </w:rPr>
        <w:t>ompete obligation upon termination o</w:t>
      </w:r>
      <w:r w:rsidR="006E33F9">
        <w:rPr>
          <w:lang w:val="en-US"/>
        </w:rPr>
        <w:t>f</w:t>
      </w:r>
      <w:r w:rsidR="00C94AFF">
        <w:rPr>
          <w:lang w:val="en-US"/>
        </w:rPr>
        <w:t xml:space="preserve"> service. </w:t>
      </w:r>
    </w:p>
    <w:p w14:paraId="5A48EF0B" w14:textId="4288EE80" w:rsidR="006E33F9" w:rsidRPr="00793689" w:rsidRDefault="00793689" w:rsidP="001F3986">
      <w:pPr>
        <w:pStyle w:val="Heading2"/>
        <w:jc w:val="both"/>
        <w:rPr>
          <w:lang w:val="en-US"/>
        </w:rPr>
      </w:pPr>
      <w:bookmarkStart w:id="10" w:name="_Toc33005677"/>
      <w:r w:rsidRPr="00793689">
        <w:rPr>
          <w:lang w:val="en-US"/>
        </w:rPr>
        <w:t>Malus</w:t>
      </w:r>
      <w:r w:rsidR="006E33F9" w:rsidRPr="00793689">
        <w:rPr>
          <w:lang w:val="en-US"/>
        </w:rPr>
        <w:t xml:space="preserve">, </w:t>
      </w:r>
      <w:r>
        <w:rPr>
          <w:lang w:val="en-US"/>
        </w:rPr>
        <w:t>deferral</w:t>
      </w:r>
      <w:r w:rsidR="006E33F9" w:rsidRPr="00793689">
        <w:rPr>
          <w:lang w:val="en-US"/>
        </w:rPr>
        <w:t xml:space="preserve"> and </w:t>
      </w:r>
      <w:proofErr w:type="spellStart"/>
      <w:r w:rsidRPr="00793689">
        <w:rPr>
          <w:lang w:val="en-US"/>
        </w:rPr>
        <w:t>clawbac</w:t>
      </w:r>
      <w:r>
        <w:rPr>
          <w:lang w:val="en-US"/>
        </w:rPr>
        <w:t>k</w:t>
      </w:r>
      <w:bookmarkEnd w:id="10"/>
      <w:proofErr w:type="spellEnd"/>
      <w:r w:rsidRPr="00793689">
        <w:rPr>
          <w:lang w:val="en-US"/>
        </w:rPr>
        <w:t xml:space="preserve"> </w:t>
      </w:r>
    </w:p>
    <w:p w14:paraId="5B576F76" w14:textId="62C6E680" w:rsidR="00793689" w:rsidRDefault="00793689" w:rsidP="001F3986">
      <w:pPr>
        <w:jc w:val="both"/>
        <w:rPr>
          <w:color w:val="000000" w:themeColor="text1"/>
          <w:lang w:val="en-US"/>
        </w:rPr>
      </w:pPr>
      <w:r w:rsidRPr="00793689">
        <w:rPr>
          <w:color w:val="000000" w:themeColor="text1"/>
          <w:lang w:val="en-US"/>
        </w:rPr>
        <w:t xml:space="preserve">The Board has the right to reduce incentive plan rewards or defer payments to a time that is more favorable to the Company, if </w:t>
      </w:r>
      <w:r w:rsidR="00137E3E">
        <w:rPr>
          <w:color w:val="000000" w:themeColor="text1"/>
          <w:lang w:val="en-US"/>
        </w:rPr>
        <w:t xml:space="preserve">e.g. </w:t>
      </w:r>
      <w:r w:rsidRPr="00793689">
        <w:rPr>
          <w:color w:val="000000" w:themeColor="text1"/>
          <w:lang w:val="en-US"/>
        </w:rPr>
        <w:t xml:space="preserve">changes in circumstances beyond the Company’s control </w:t>
      </w:r>
      <w:r>
        <w:rPr>
          <w:color w:val="000000" w:themeColor="text1"/>
          <w:lang w:val="en-US"/>
        </w:rPr>
        <w:t xml:space="preserve">or other circumstances </w:t>
      </w:r>
      <w:r w:rsidRPr="00793689">
        <w:rPr>
          <w:color w:val="000000" w:themeColor="text1"/>
          <w:lang w:val="en-US"/>
        </w:rPr>
        <w:t>would result in materially adverse or unacceptable result for the Company of for the CEO.</w:t>
      </w:r>
      <w:r w:rsidR="00137E3E">
        <w:rPr>
          <w:color w:val="000000" w:themeColor="text1"/>
          <w:lang w:val="en-US"/>
        </w:rPr>
        <w:t xml:space="preserve"> </w:t>
      </w:r>
      <w:r>
        <w:rPr>
          <w:color w:val="000000" w:themeColor="text1"/>
          <w:lang w:val="en-US"/>
        </w:rPr>
        <w:t>In addition, t</w:t>
      </w:r>
      <w:r w:rsidRPr="00793689">
        <w:rPr>
          <w:color w:val="000000" w:themeColor="text1"/>
          <w:lang w:val="en-US"/>
        </w:rPr>
        <w:t xml:space="preserve">he Board </w:t>
      </w:r>
      <w:r>
        <w:rPr>
          <w:color w:val="000000" w:themeColor="text1"/>
          <w:lang w:val="en-US"/>
        </w:rPr>
        <w:t>has</w:t>
      </w:r>
      <w:r w:rsidRPr="00793689">
        <w:rPr>
          <w:color w:val="000000" w:themeColor="text1"/>
          <w:lang w:val="en-US"/>
        </w:rPr>
        <w:t xml:space="preserve"> the right to </w:t>
      </w:r>
      <w:r>
        <w:rPr>
          <w:color w:val="000000" w:themeColor="text1"/>
          <w:lang w:val="en-US"/>
        </w:rPr>
        <w:t>recover</w:t>
      </w:r>
      <w:r w:rsidR="005B6920">
        <w:rPr>
          <w:color w:val="000000" w:themeColor="text1"/>
          <w:lang w:val="en-US"/>
        </w:rPr>
        <w:t xml:space="preserve"> from the CEO</w:t>
      </w:r>
      <w:r>
        <w:rPr>
          <w:color w:val="000000" w:themeColor="text1"/>
          <w:lang w:val="en-US"/>
        </w:rPr>
        <w:t xml:space="preserve"> paid rewards or distributed stock options</w:t>
      </w:r>
      <w:r w:rsidRPr="00793689">
        <w:rPr>
          <w:color w:val="000000" w:themeColor="text1"/>
          <w:lang w:val="en-US"/>
        </w:rPr>
        <w:t xml:space="preserve"> </w:t>
      </w:r>
      <w:r>
        <w:rPr>
          <w:color w:val="000000" w:themeColor="text1"/>
          <w:lang w:val="en-US"/>
        </w:rPr>
        <w:t>fully or partly,</w:t>
      </w:r>
      <w:r w:rsidRPr="00793689">
        <w:rPr>
          <w:color w:val="000000" w:themeColor="text1"/>
          <w:lang w:val="en-US"/>
        </w:rPr>
        <w:t xml:space="preserve"> if it deems necessary to amend the financial statements of the Company and such amendments</w:t>
      </w:r>
      <w:r w:rsidR="00137E3E">
        <w:rPr>
          <w:color w:val="000000" w:themeColor="text1"/>
          <w:lang w:val="en-US"/>
        </w:rPr>
        <w:t xml:space="preserve"> affect or</w:t>
      </w:r>
      <w:r w:rsidRPr="00793689">
        <w:rPr>
          <w:color w:val="000000" w:themeColor="text1"/>
          <w:lang w:val="en-US"/>
        </w:rPr>
        <w:t xml:space="preserve"> </w:t>
      </w:r>
      <w:r w:rsidRPr="00137E3E">
        <w:rPr>
          <w:color w:val="000000" w:themeColor="text1"/>
          <w:lang w:val="en-US"/>
        </w:rPr>
        <w:t>would have affected</w:t>
      </w:r>
      <w:r w:rsidRPr="00793689">
        <w:rPr>
          <w:color w:val="000000" w:themeColor="text1"/>
          <w:lang w:val="en-US"/>
        </w:rPr>
        <w:t xml:space="preserve"> the amount of the </w:t>
      </w:r>
      <w:r>
        <w:rPr>
          <w:color w:val="000000" w:themeColor="text1"/>
          <w:lang w:val="en-US"/>
        </w:rPr>
        <w:t>reward</w:t>
      </w:r>
      <w:r w:rsidR="00C17AC9">
        <w:rPr>
          <w:color w:val="000000" w:themeColor="text1"/>
          <w:lang w:val="en-US"/>
        </w:rPr>
        <w:t xml:space="preserve">, or the targets of the incentive plan has been manipulated or in case of any </w:t>
      </w:r>
      <w:r w:rsidRPr="00793689">
        <w:rPr>
          <w:color w:val="000000" w:themeColor="text1"/>
          <w:lang w:val="en-US"/>
        </w:rPr>
        <w:t>act</w:t>
      </w:r>
      <w:r w:rsidR="00C17AC9">
        <w:rPr>
          <w:color w:val="000000" w:themeColor="text1"/>
          <w:lang w:val="en-US"/>
        </w:rPr>
        <w:t>ion</w:t>
      </w:r>
      <w:r w:rsidRPr="00793689">
        <w:rPr>
          <w:color w:val="000000" w:themeColor="text1"/>
          <w:lang w:val="en-US"/>
        </w:rPr>
        <w:t xml:space="preserve"> in violation of </w:t>
      </w:r>
      <w:r w:rsidR="00F82328">
        <w:rPr>
          <w:color w:val="000000" w:themeColor="text1"/>
          <w:lang w:val="en-US"/>
        </w:rPr>
        <w:t xml:space="preserve">the Company’s business interest, criminal </w:t>
      </w:r>
      <w:r w:rsidRPr="00793689">
        <w:rPr>
          <w:color w:val="000000" w:themeColor="text1"/>
          <w:lang w:val="en-US"/>
        </w:rPr>
        <w:t xml:space="preserve">law </w:t>
      </w:r>
      <w:r w:rsidR="00F82328">
        <w:rPr>
          <w:color w:val="000000" w:themeColor="text1"/>
          <w:lang w:val="en-US"/>
        </w:rPr>
        <w:t>or employment</w:t>
      </w:r>
      <w:r w:rsidR="00B833D6">
        <w:rPr>
          <w:color w:val="000000" w:themeColor="text1"/>
          <w:lang w:val="en-US"/>
        </w:rPr>
        <w:t xml:space="preserve"> or service </w:t>
      </w:r>
      <w:r w:rsidR="00F82328">
        <w:rPr>
          <w:color w:val="000000" w:themeColor="text1"/>
          <w:lang w:val="en-US"/>
        </w:rPr>
        <w:t>related la</w:t>
      </w:r>
      <w:r w:rsidR="00B833D6">
        <w:rPr>
          <w:color w:val="000000" w:themeColor="text1"/>
          <w:lang w:val="en-US"/>
        </w:rPr>
        <w:t>w</w:t>
      </w:r>
      <w:r w:rsidR="00F82328">
        <w:rPr>
          <w:color w:val="000000" w:themeColor="text1"/>
          <w:lang w:val="en-US"/>
        </w:rPr>
        <w:t xml:space="preserve"> </w:t>
      </w:r>
      <w:r w:rsidRPr="00793689">
        <w:rPr>
          <w:color w:val="000000" w:themeColor="text1"/>
          <w:lang w:val="en-US"/>
        </w:rPr>
        <w:t>or the Company's ethical guidelines</w:t>
      </w:r>
      <w:r w:rsidR="00B833D6">
        <w:rPr>
          <w:color w:val="000000" w:themeColor="text1"/>
          <w:lang w:val="en-US"/>
        </w:rPr>
        <w:t>,</w:t>
      </w:r>
      <w:r w:rsidR="00C17AC9">
        <w:rPr>
          <w:color w:val="000000" w:themeColor="text1"/>
          <w:lang w:val="en-US"/>
        </w:rPr>
        <w:t xml:space="preserve"> or other unethica</w:t>
      </w:r>
      <w:r w:rsidR="00B833D6">
        <w:rPr>
          <w:color w:val="000000" w:themeColor="text1"/>
          <w:lang w:val="en-US"/>
        </w:rPr>
        <w:t>l action</w:t>
      </w:r>
      <w:r w:rsidR="006F5108" w:rsidRPr="00793689">
        <w:rPr>
          <w:color w:val="000000" w:themeColor="text1"/>
          <w:lang w:val="en-US"/>
        </w:rPr>
        <w:t xml:space="preserve">. </w:t>
      </w:r>
    </w:p>
    <w:p w14:paraId="349330C4" w14:textId="15517F08" w:rsidR="0096344F" w:rsidRPr="00465CAE" w:rsidRDefault="00465CAE" w:rsidP="001F3986">
      <w:pPr>
        <w:pStyle w:val="Heading1"/>
        <w:jc w:val="both"/>
        <w:rPr>
          <w:lang w:val="en-US"/>
        </w:rPr>
      </w:pPr>
      <w:bookmarkStart w:id="11" w:name="_Toc33005678"/>
      <w:r w:rsidRPr="00465CAE">
        <w:rPr>
          <w:lang w:val="en-US"/>
        </w:rPr>
        <w:t>Exceptional circumstances and tempor</w:t>
      </w:r>
      <w:r>
        <w:rPr>
          <w:lang w:val="en-US"/>
        </w:rPr>
        <w:t>ary deviation</w:t>
      </w:r>
      <w:bookmarkEnd w:id="11"/>
      <w:r w:rsidR="002652E5" w:rsidRPr="00465CAE">
        <w:rPr>
          <w:lang w:val="en-US"/>
        </w:rPr>
        <w:t xml:space="preserve"> </w:t>
      </w:r>
    </w:p>
    <w:p w14:paraId="7D3D6AC5" w14:textId="3C95DEC7" w:rsidR="00465CAE" w:rsidRPr="0096064A" w:rsidRDefault="00465CAE" w:rsidP="00465CAE">
      <w:pPr>
        <w:jc w:val="both"/>
        <w:rPr>
          <w:lang w:val="en-US"/>
        </w:rPr>
      </w:pPr>
      <w:r>
        <w:rPr>
          <w:lang w:val="en-US"/>
        </w:rPr>
        <w:t>In exceptional circumstances, i</w:t>
      </w:r>
      <w:r w:rsidRPr="0096064A">
        <w:rPr>
          <w:lang w:val="en-US"/>
        </w:rPr>
        <w:t xml:space="preserve">t </w:t>
      </w:r>
      <w:r w:rsidR="009D666D">
        <w:rPr>
          <w:lang w:val="en-US"/>
        </w:rPr>
        <w:t xml:space="preserve">may be in the long-term interest of </w:t>
      </w:r>
      <w:r>
        <w:rPr>
          <w:lang w:val="en-US"/>
        </w:rPr>
        <w:t xml:space="preserve">the QPR Software </w:t>
      </w:r>
      <w:r w:rsidRPr="0096064A">
        <w:rPr>
          <w:lang w:val="en-US"/>
        </w:rPr>
        <w:t>shareholders</w:t>
      </w:r>
      <w:r w:rsidRPr="00465CAE">
        <w:rPr>
          <w:lang w:val="en-US"/>
        </w:rPr>
        <w:t xml:space="preserve"> </w:t>
      </w:r>
      <w:r>
        <w:rPr>
          <w:lang w:val="en-US"/>
        </w:rPr>
        <w:t>and</w:t>
      </w:r>
      <w:r w:rsidR="009D666D">
        <w:rPr>
          <w:lang w:val="en-US"/>
        </w:rPr>
        <w:t xml:space="preserve"> beneficial to</w:t>
      </w:r>
      <w:r>
        <w:rPr>
          <w:lang w:val="en-US"/>
        </w:rPr>
        <w:t xml:space="preserve"> the Company’s financial development that the </w:t>
      </w:r>
      <w:r w:rsidRPr="0096064A">
        <w:rPr>
          <w:lang w:val="en-US"/>
        </w:rPr>
        <w:t xml:space="preserve">Board is able to temporarily deviate from </w:t>
      </w:r>
      <w:r>
        <w:rPr>
          <w:lang w:val="en-US"/>
        </w:rPr>
        <w:t>the Remuneration</w:t>
      </w:r>
      <w:r w:rsidRPr="0096064A">
        <w:rPr>
          <w:lang w:val="en-US"/>
        </w:rPr>
        <w:t xml:space="preserve"> </w:t>
      </w:r>
      <w:r>
        <w:rPr>
          <w:lang w:val="en-US"/>
        </w:rPr>
        <w:t>Policy.</w:t>
      </w:r>
      <w:r w:rsidRPr="0096064A">
        <w:rPr>
          <w:lang w:val="en-US"/>
        </w:rPr>
        <w:t xml:space="preserve"> </w:t>
      </w:r>
      <w:r>
        <w:rPr>
          <w:lang w:val="en-US"/>
        </w:rPr>
        <w:t>The Board may decide to deviate from the Remuneration Policy presented to the General Meeting only after careful consideration in pre-determined situations, which are:</w:t>
      </w:r>
    </w:p>
    <w:p w14:paraId="38361508" w14:textId="7ACFCF44" w:rsidR="00465CAE" w:rsidRPr="0096064A" w:rsidRDefault="00465CAE" w:rsidP="00465CAE">
      <w:pPr>
        <w:pStyle w:val="ListParagraph"/>
        <w:numPr>
          <w:ilvl w:val="0"/>
          <w:numId w:val="2"/>
        </w:numPr>
        <w:jc w:val="both"/>
        <w:rPr>
          <w:lang w:val="en-US"/>
        </w:rPr>
      </w:pPr>
      <w:r w:rsidRPr="0096064A">
        <w:rPr>
          <w:lang w:val="en-US"/>
        </w:rPr>
        <w:t xml:space="preserve">Recruitment of a </w:t>
      </w:r>
      <w:r>
        <w:rPr>
          <w:lang w:val="en-US"/>
        </w:rPr>
        <w:t xml:space="preserve">new </w:t>
      </w:r>
      <w:r w:rsidRPr="0096064A">
        <w:rPr>
          <w:lang w:val="en-US"/>
        </w:rPr>
        <w:t>CEO,</w:t>
      </w:r>
    </w:p>
    <w:p w14:paraId="0DD1AB5A" w14:textId="4BFDEC43" w:rsidR="00465CAE" w:rsidRPr="0096064A" w:rsidRDefault="00465CAE" w:rsidP="00465CAE">
      <w:pPr>
        <w:pStyle w:val="ListParagraph"/>
        <w:numPr>
          <w:ilvl w:val="0"/>
          <w:numId w:val="2"/>
        </w:numPr>
        <w:jc w:val="both"/>
        <w:rPr>
          <w:lang w:val="en-US"/>
        </w:rPr>
      </w:pPr>
      <w:r>
        <w:rPr>
          <w:lang w:val="en-US"/>
        </w:rPr>
        <w:t>A s</w:t>
      </w:r>
      <w:r w:rsidRPr="0096064A">
        <w:rPr>
          <w:lang w:val="en-US"/>
        </w:rPr>
        <w:t>ignificant</w:t>
      </w:r>
      <w:r>
        <w:rPr>
          <w:lang w:val="en-US"/>
        </w:rPr>
        <w:t xml:space="preserve"> corporate restructuring event, e.g.</w:t>
      </w:r>
      <w:r w:rsidR="00473AA8">
        <w:rPr>
          <w:lang w:val="en-US"/>
        </w:rPr>
        <w:t xml:space="preserve"> </w:t>
      </w:r>
      <w:r w:rsidRPr="0096064A">
        <w:rPr>
          <w:lang w:val="en-US"/>
        </w:rPr>
        <w:t>acquisition</w:t>
      </w:r>
      <w:r w:rsidR="00473AA8">
        <w:rPr>
          <w:lang w:val="en-US"/>
        </w:rPr>
        <w:t>, divestment</w:t>
      </w:r>
      <w:r w:rsidRPr="0096064A">
        <w:rPr>
          <w:lang w:val="en-US"/>
        </w:rPr>
        <w:t>,</w:t>
      </w:r>
      <w:r w:rsidR="00473AA8">
        <w:rPr>
          <w:lang w:val="en-US"/>
        </w:rPr>
        <w:t xml:space="preserve"> merger,</w:t>
      </w:r>
      <w:r w:rsidRPr="0096064A">
        <w:rPr>
          <w:lang w:val="en-US"/>
        </w:rPr>
        <w:t xml:space="preserve"> </w:t>
      </w:r>
      <w:proofErr w:type="gramStart"/>
      <w:r w:rsidRPr="0096064A">
        <w:rPr>
          <w:lang w:val="en-US"/>
        </w:rPr>
        <w:t>demerger</w:t>
      </w:r>
      <w:proofErr w:type="gramEnd"/>
      <w:r w:rsidRPr="0096064A">
        <w:rPr>
          <w:lang w:val="en-US"/>
        </w:rPr>
        <w:t xml:space="preserve"> or </w:t>
      </w:r>
      <w:r>
        <w:rPr>
          <w:lang w:val="en-US"/>
        </w:rPr>
        <w:t>an</w:t>
      </w:r>
      <w:r w:rsidRPr="0096064A">
        <w:rPr>
          <w:lang w:val="en-US"/>
        </w:rPr>
        <w:t>other corporate restructuring event</w:t>
      </w:r>
      <w:r w:rsidR="00473AA8">
        <w:rPr>
          <w:lang w:val="en-US"/>
        </w:rPr>
        <w:t xml:space="preserve"> defined as significant</w:t>
      </w:r>
      <w:r w:rsidR="00473AA8" w:rsidRPr="00473AA8">
        <w:rPr>
          <w:lang w:val="en-US"/>
        </w:rPr>
        <w:t xml:space="preserve"> </w:t>
      </w:r>
      <w:r w:rsidR="00473AA8">
        <w:rPr>
          <w:lang w:val="en-US"/>
        </w:rPr>
        <w:t>by the Board</w:t>
      </w:r>
      <w:r w:rsidRPr="0096064A">
        <w:rPr>
          <w:lang w:val="en-US"/>
        </w:rPr>
        <w:t>,</w:t>
      </w:r>
    </w:p>
    <w:p w14:paraId="3FA74E33" w14:textId="11A60B7F" w:rsidR="00465CAE" w:rsidRDefault="00465CAE" w:rsidP="00473AA8">
      <w:pPr>
        <w:pStyle w:val="ListParagraph"/>
        <w:numPr>
          <w:ilvl w:val="0"/>
          <w:numId w:val="2"/>
        </w:numPr>
        <w:jc w:val="both"/>
        <w:rPr>
          <w:lang w:val="en-US"/>
        </w:rPr>
      </w:pPr>
      <w:r w:rsidRPr="0096064A">
        <w:rPr>
          <w:lang w:val="en-US"/>
        </w:rPr>
        <w:t xml:space="preserve">Significant change in </w:t>
      </w:r>
      <w:r w:rsidR="00473AA8">
        <w:rPr>
          <w:lang w:val="en-US"/>
        </w:rPr>
        <w:t>QPR Software’s</w:t>
      </w:r>
      <w:r w:rsidRPr="00473AA8">
        <w:rPr>
          <w:lang w:val="en-US"/>
        </w:rPr>
        <w:t xml:space="preserve"> strategy,</w:t>
      </w:r>
    </w:p>
    <w:p w14:paraId="2A13C81A" w14:textId="7635409F" w:rsidR="00F9623F" w:rsidRDefault="00F9623F" w:rsidP="00473AA8">
      <w:pPr>
        <w:pStyle w:val="ListParagraph"/>
        <w:numPr>
          <w:ilvl w:val="0"/>
          <w:numId w:val="2"/>
        </w:numPr>
        <w:jc w:val="both"/>
        <w:rPr>
          <w:lang w:val="en-US"/>
        </w:rPr>
      </w:pPr>
      <w:r>
        <w:rPr>
          <w:lang w:val="en-US"/>
        </w:rPr>
        <w:t>Immediate retention needs arising from external factors,</w:t>
      </w:r>
    </w:p>
    <w:p w14:paraId="73FD02BB" w14:textId="3D681B0E" w:rsidR="00BE013B" w:rsidRPr="00473AA8" w:rsidRDefault="00BE013B" w:rsidP="00473AA8">
      <w:pPr>
        <w:pStyle w:val="ListParagraph"/>
        <w:numPr>
          <w:ilvl w:val="0"/>
          <w:numId w:val="2"/>
        </w:numPr>
        <w:jc w:val="both"/>
        <w:rPr>
          <w:lang w:val="en-US"/>
        </w:rPr>
      </w:pPr>
      <w:r>
        <w:rPr>
          <w:lang w:val="en-US"/>
        </w:rPr>
        <w:t>Immediate need to promote the increase of the CEO’s ownership in QPR Software,</w:t>
      </w:r>
    </w:p>
    <w:p w14:paraId="106FBE57" w14:textId="4220FEC9" w:rsidR="00465CAE" w:rsidRPr="0096064A" w:rsidRDefault="00465CAE" w:rsidP="00465CAE">
      <w:pPr>
        <w:pStyle w:val="ListParagraph"/>
        <w:numPr>
          <w:ilvl w:val="0"/>
          <w:numId w:val="2"/>
        </w:numPr>
        <w:jc w:val="both"/>
        <w:rPr>
          <w:lang w:val="en-US"/>
        </w:rPr>
      </w:pPr>
      <w:r w:rsidRPr="0096064A">
        <w:rPr>
          <w:lang w:val="en-US"/>
        </w:rPr>
        <w:t xml:space="preserve">Changes in legislation, regulation, </w:t>
      </w:r>
      <w:proofErr w:type="gramStart"/>
      <w:r w:rsidRPr="0096064A">
        <w:rPr>
          <w:lang w:val="en-US"/>
        </w:rPr>
        <w:t>taxation</w:t>
      </w:r>
      <w:proofErr w:type="gramEnd"/>
      <w:r w:rsidRPr="0096064A">
        <w:rPr>
          <w:lang w:val="en-US"/>
        </w:rPr>
        <w:t xml:space="preserve"> or equivalent</w:t>
      </w:r>
      <w:r w:rsidR="00473AA8">
        <w:rPr>
          <w:lang w:val="en-US"/>
        </w:rPr>
        <w:t xml:space="preserve"> matters affecting the business environment</w:t>
      </w:r>
      <w:r w:rsidRPr="0096064A">
        <w:rPr>
          <w:lang w:val="en-US"/>
        </w:rPr>
        <w:t>.</w:t>
      </w:r>
    </w:p>
    <w:p w14:paraId="29E5D1D8" w14:textId="2ED84772" w:rsidR="00465CAE" w:rsidRPr="0096064A" w:rsidRDefault="00137E3E" w:rsidP="00465CAE">
      <w:pPr>
        <w:spacing w:before="240"/>
        <w:jc w:val="both"/>
        <w:rPr>
          <w:lang w:val="en-US"/>
        </w:rPr>
      </w:pPr>
      <w:r w:rsidRPr="0096064A">
        <w:rPr>
          <w:lang w:val="en-US"/>
        </w:rPr>
        <w:t xml:space="preserve">Any </w:t>
      </w:r>
      <w:r>
        <w:rPr>
          <w:lang w:val="en-US"/>
        </w:rPr>
        <w:t xml:space="preserve">temporary </w:t>
      </w:r>
      <w:r w:rsidRPr="0096064A">
        <w:rPr>
          <w:lang w:val="en-US"/>
        </w:rPr>
        <w:t xml:space="preserve">deviation </w:t>
      </w:r>
      <w:r>
        <w:rPr>
          <w:lang w:val="en-US"/>
        </w:rPr>
        <w:t xml:space="preserve">from the Remuneration Policy </w:t>
      </w:r>
      <w:r w:rsidR="00465CAE" w:rsidRPr="0096064A">
        <w:rPr>
          <w:lang w:val="en-US"/>
        </w:rPr>
        <w:t xml:space="preserve">may </w:t>
      </w:r>
      <w:r>
        <w:rPr>
          <w:lang w:val="en-US"/>
        </w:rPr>
        <w:t>relate</w:t>
      </w:r>
      <w:r w:rsidR="00465CAE" w:rsidRPr="0096064A">
        <w:rPr>
          <w:lang w:val="en-US"/>
        </w:rPr>
        <w:t xml:space="preserve"> to </w:t>
      </w:r>
      <w:r w:rsidR="00465CAE">
        <w:rPr>
          <w:lang w:val="en-US"/>
        </w:rPr>
        <w:t xml:space="preserve">remuneration </w:t>
      </w:r>
      <w:r>
        <w:rPr>
          <w:lang w:val="en-US"/>
        </w:rPr>
        <w:t>elements</w:t>
      </w:r>
      <w:r w:rsidR="00465CAE" w:rsidRPr="0096064A">
        <w:rPr>
          <w:lang w:val="en-US"/>
        </w:rPr>
        <w:t xml:space="preserve">, </w:t>
      </w:r>
      <w:r w:rsidR="00465CAE">
        <w:rPr>
          <w:lang w:val="en-US"/>
        </w:rPr>
        <w:t xml:space="preserve">key terms applicable to the </w:t>
      </w:r>
      <w:r>
        <w:rPr>
          <w:lang w:val="en-US"/>
        </w:rPr>
        <w:t>director</w:t>
      </w:r>
      <w:r w:rsidR="00465CAE">
        <w:rPr>
          <w:lang w:val="en-US"/>
        </w:rPr>
        <w:t xml:space="preserve"> contract and </w:t>
      </w:r>
      <w:r w:rsidR="00465CAE" w:rsidRPr="0096064A">
        <w:rPr>
          <w:lang w:val="en-US"/>
        </w:rPr>
        <w:t>incentive plan structures</w:t>
      </w:r>
      <w:r w:rsidR="00473AA8">
        <w:rPr>
          <w:lang w:val="en-US"/>
        </w:rPr>
        <w:t xml:space="preserve"> </w:t>
      </w:r>
      <w:r w:rsidR="00465CAE" w:rsidRPr="0096064A">
        <w:rPr>
          <w:lang w:val="en-US"/>
        </w:rPr>
        <w:t>and mechanisms</w:t>
      </w:r>
      <w:r w:rsidR="00465CAE">
        <w:rPr>
          <w:lang w:val="en-US"/>
        </w:rPr>
        <w:t xml:space="preserve">, as well as incentive plan </w:t>
      </w:r>
      <w:r w:rsidR="00465CAE" w:rsidRPr="0096064A">
        <w:rPr>
          <w:lang w:val="en-US"/>
        </w:rPr>
        <w:t xml:space="preserve">timelines, </w:t>
      </w:r>
      <w:r>
        <w:rPr>
          <w:lang w:val="en-US"/>
        </w:rPr>
        <w:t>performance criteria</w:t>
      </w:r>
      <w:r w:rsidR="00465CAE" w:rsidRPr="0096064A">
        <w:rPr>
          <w:lang w:val="en-US"/>
        </w:rPr>
        <w:t xml:space="preserve"> and </w:t>
      </w:r>
      <w:r w:rsidR="00465CAE">
        <w:rPr>
          <w:lang w:val="en-US"/>
        </w:rPr>
        <w:t xml:space="preserve">earning </w:t>
      </w:r>
      <w:r w:rsidR="00465CAE" w:rsidRPr="0096064A">
        <w:rPr>
          <w:lang w:val="en-US"/>
        </w:rPr>
        <w:t xml:space="preserve">opportunities, as seen </w:t>
      </w:r>
      <w:r w:rsidR="00465CAE">
        <w:rPr>
          <w:lang w:val="en-US"/>
        </w:rPr>
        <w:t>compulsory</w:t>
      </w:r>
      <w:r>
        <w:rPr>
          <w:lang w:val="en-US"/>
        </w:rPr>
        <w:t xml:space="preserve"> by the Board</w:t>
      </w:r>
      <w:r w:rsidR="00465CAE">
        <w:rPr>
          <w:lang w:val="en-US"/>
        </w:rPr>
        <w:t xml:space="preserve"> </w:t>
      </w:r>
      <w:proofErr w:type="gramStart"/>
      <w:r w:rsidR="00465CAE">
        <w:rPr>
          <w:lang w:val="en-US"/>
        </w:rPr>
        <w:t>in order t</w:t>
      </w:r>
      <w:r w:rsidR="00465CAE" w:rsidRPr="0096064A">
        <w:rPr>
          <w:lang w:val="en-US"/>
        </w:rPr>
        <w:t>o</w:t>
      </w:r>
      <w:proofErr w:type="gramEnd"/>
      <w:r w:rsidR="00465CAE" w:rsidRPr="0096064A">
        <w:rPr>
          <w:lang w:val="en-US"/>
        </w:rPr>
        <w:t xml:space="preserve"> ensure the </w:t>
      </w:r>
      <w:r w:rsidR="00473AA8">
        <w:rPr>
          <w:lang w:val="en-US"/>
        </w:rPr>
        <w:t>Company’s long-term success</w:t>
      </w:r>
      <w:r w:rsidR="00465CAE" w:rsidRPr="0096064A">
        <w:rPr>
          <w:lang w:val="en-US"/>
        </w:rPr>
        <w:t xml:space="preserve">. </w:t>
      </w:r>
    </w:p>
    <w:p w14:paraId="70B014D2" w14:textId="7A464EDC" w:rsidR="00465CAE" w:rsidRPr="0096064A" w:rsidRDefault="00465CAE" w:rsidP="00465CAE">
      <w:pPr>
        <w:spacing w:before="240"/>
        <w:jc w:val="both"/>
        <w:rPr>
          <w:lang w:val="en-US"/>
        </w:rPr>
      </w:pPr>
      <w:r w:rsidRPr="0096064A">
        <w:rPr>
          <w:lang w:val="en-US"/>
        </w:rPr>
        <w:t xml:space="preserve">Any </w:t>
      </w:r>
      <w:r w:rsidR="00473AA8">
        <w:rPr>
          <w:lang w:val="en-US"/>
        </w:rPr>
        <w:t xml:space="preserve">temporary </w:t>
      </w:r>
      <w:r w:rsidRPr="0096064A">
        <w:rPr>
          <w:lang w:val="en-US"/>
        </w:rPr>
        <w:t xml:space="preserve">deviation </w:t>
      </w:r>
      <w:r>
        <w:rPr>
          <w:lang w:val="en-US"/>
        </w:rPr>
        <w:t xml:space="preserve">from the Remuneration Policy will </w:t>
      </w:r>
      <w:r w:rsidRPr="0096064A">
        <w:rPr>
          <w:lang w:val="en-US"/>
        </w:rPr>
        <w:t>be carefully considered by the Board and communicated transparently to the shareholders</w:t>
      </w:r>
      <w:r w:rsidR="00473AA8">
        <w:rPr>
          <w:lang w:val="en-US"/>
        </w:rPr>
        <w:t xml:space="preserve"> at the latest in the next Remuneration Policy to be presented to the next General Meeting</w:t>
      </w:r>
      <w:r w:rsidRPr="0096064A">
        <w:rPr>
          <w:lang w:val="en-US"/>
        </w:rPr>
        <w:t>.</w:t>
      </w:r>
    </w:p>
    <w:p w14:paraId="64D3DFE4" w14:textId="70D473FB" w:rsidR="001B00B1" w:rsidRPr="00896E3F" w:rsidRDefault="001B00B1" w:rsidP="001F3986">
      <w:pPr>
        <w:jc w:val="both"/>
        <w:rPr>
          <w:lang w:val="en-US"/>
        </w:rPr>
      </w:pPr>
    </w:p>
    <w:sectPr w:rsidR="001B00B1" w:rsidRPr="00896E3F" w:rsidSect="00580A5C">
      <w:headerReference w:type="default" r:id="rId11"/>
      <w:pgSz w:w="11906" w:h="16838"/>
      <w:pgMar w:top="1702"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F7885" w14:textId="77777777" w:rsidR="00580A5C" w:rsidRDefault="00580A5C" w:rsidP="002652E5">
      <w:pPr>
        <w:spacing w:after="0" w:line="240" w:lineRule="auto"/>
      </w:pPr>
      <w:r>
        <w:separator/>
      </w:r>
    </w:p>
  </w:endnote>
  <w:endnote w:type="continuationSeparator" w:id="0">
    <w:p w14:paraId="01C85F57" w14:textId="77777777" w:rsidR="00580A5C" w:rsidRDefault="00580A5C" w:rsidP="00265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5747A" w14:textId="77777777" w:rsidR="00580A5C" w:rsidRDefault="00580A5C" w:rsidP="002652E5">
      <w:pPr>
        <w:spacing w:after="0" w:line="240" w:lineRule="auto"/>
      </w:pPr>
      <w:r>
        <w:separator/>
      </w:r>
    </w:p>
  </w:footnote>
  <w:footnote w:type="continuationSeparator" w:id="0">
    <w:p w14:paraId="3D028DF3" w14:textId="77777777" w:rsidR="00580A5C" w:rsidRDefault="00580A5C" w:rsidP="00265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EndPr/>
    <w:sdtContent>
      <w:p w14:paraId="69FEDD7E" w14:textId="62EFEBB6" w:rsidR="00494702" w:rsidRDefault="00494702">
        <w:pPr>
          <w:pStyle w:val="Head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039EB541" w14:textId="77777777" w:rsidR="002652E5" w:rsidRDefault="00265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B25FDC"/>
    <w:multiLevelType w:val="hybridMultilevel"/>
    <w:tmpl w:val="97283E0E"/>
    <w:lvl w:ilvl="0" w:tplc="C9649E12">
      <w:start w:val="1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80B459D"/>
    <w:multiLevelType w:val="hybridMultilevel"/>
    <w:tmpl w:val="F62A2EB0"/>
    <w:lvl w:ilvl="0" w:tplc="60680F0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47824996">
    <w:abstractNumId w:val="0"/>
  </w:num>
  <w:num w:numId="2" w16cid:durableId="153492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F"/>
    <w:rsid w:val="00002BCB"/>
    <w:rsid w:val="00041678"/>
    <w:rsid w:val="00053D2D"/>
    <w:rsid w:val="00065A39"/>
    <w:rsid w:val="0007706F"/>
    <w:rsid w:val="00087F20"/>
    <w:rsid w:val="000B713E"/>
    <w:rsid w:val="000C5A55"/>
    <w:rsid w:val="000C5AC2"/>
    <w:rsid w:val="000E02DC"/>
    <w:rsid w:val="001175B2"/>
    <w:rsid w:val="00132281"/>
    <w:rsid w:val="001331E2"/>
    <w:rsid w:val="00137E3E"/>
    <w:rsid w:val="001A0F82"/>
    <w:rsid w:val="001A3208"/>
    <w:rsid w:val="001B00B1"/>
    <w:rsid w:val="001C1F65"/>
    <w:rsid w:val="001D45E6"/>
    <w:rsid w:val="001F3986"/>
    <w:rsid w:val="0023035F"/>
    <w:rsid w:val="00241424"/>
    <w:rsid w:val="00260101"/>
    <w:rsid w:val="002652E5"/>
    <w:rsid w:val="00265A6C"/>
    <w:rsid w:val="00285421"/>
    <w:rsid w:val="00285FF9"/>
    <w:rsid w:val="002B7DCF"/>
    <w:rsid w:val="002C4B01"/>
    <w:rsid w:val="002D3706"/>
    <w:rsid w:val="002E7B48"/>
    <w:rsid w:val="0030344E"/>
    <w:rsid w:val="003056BF"/>
    <w:rsid w:val="003062D1"/>
    <w:rsid w:val="003107C5"/>
    <w:rsid w:val="0031157B"/>
    <w:rsid w:val="003331FD"/>
    <w:rsid w:val="003817C6"/>
    <w:rsid w:val="00385752"/>
    <w:rsid w:val="0039356D"/>
    <w:rsid w:val="003A0672"/>
    <w:rsid w:val="003A3949"/>
    <w:rsid w:val="003A4072"/>
    <w:rsid w:val="003A664D"/>
    <w:rsid w:val="003A6ECD"/>
    <w:rsid w:val="003B5833"/>
    <w:rsid w:val="003C4AE3"/>
    <w:rsid w:val="003C597E"/>
    <w:rsid w:val="003E3487"/>
    <w:rsid w:val="00415A0A"/>
    <w:rsid w:val="00424865"/>
    <w:rsid w:val="00427CEF"/>
    <w:rsid w:val="004300E2"/>
    <w:rsid w:val="00434565"/>
    <w:rsid w:val="004517BB"/>
    <w:rsid w:val="00464ADB"/>
    <w:rsid w:val="00465CAE"/>
    <w:rsid w:val="00467BB3"/>
    <w:rsid w:val="004706D2"/>
    <w:rsid w:val="00473AA8"/>
    <w:rsid w:val="00473F4F"/>
    <w:rsid w:val="00475337"/>
    <w:rsid w:val="004823D3"/>
    <w:rsid w:val="00494702"/>
    <w:rsid w:val="004A0E5F"/>
    <w:rsid w:val="004A2639"/>
    <w:rsid w:val="004A3A2A"/>
    <w:rsid w:val="004A51B8"/>
    <w:rsid w:val="004B0B08"/>
    <w:rsid w:val="004B66EF"/>
    <w:rsid w:val="004F6F0C"/>
    <w:rsid w:val="00507190"/>
    <w:rsid w:val="00513AD5"/>
    <w:rsid w:val="00540417"/>
    <w:rsid w:val="0054210A"/>
    <w:rsid w:val="00547DD1"/>
    <w:rsid w:val="00551F33"/>
    <w:rsid w:val="0055341E"/>
    <w:rsid w:val="0057061A"/>
    <w:rsid w:val="00580A5C"/>
    <w:rsid w:val="00584916"/>
    <w:rsid w:val="005934B1"/>
    <w:rsid w:val="005A329E"/>
    <w:rsid w:val="005A711B"/>
    <w:rsid w:val="005B6920"/>
    <w:rsid w:val="005E6588"/>
    <w:rsid w:val="00603062"/>
    <w:rsid w:val="006324C4"/>
    <w:rsid w:val="00633197"/>
    <w:rsid w:val="00641176"/>
    <w:rsid w:val="00644F27"/>
    <w:rsid w:val="0065499B"/>
    <w:rsid w:val="006631D7"/>
    <w:rsid w:val="00691E43"/>
    <w:rsid w:val="006E18FA"/>
    <w:rsid w:val="006E33F9"/>
    <w:rsid w:val="006E42CF"/>
    <w:rsid w:val="006E7160"/>
    <w:rsid w:val="006E7480"/>
    <w:rsid w:val="006E7DF1"/>
    <w:rsid w:val="006F5108"/>
    <w:rsid w:val="00700628"/>
    <w:rsid w:val="00714650"/>
    <w:rsid w:val="00733758"/>
    <w:rsid w:val="00750D48"/>
    <w:rsid w:val="00755916"/>
    <w:rsid w:val="00757458"/>
    <w:rsid w:val="00787B40"/>
    <w:rsid w:val="007901D4"/>
    <w:rsid w:val="00793689"/>
    <w:rsid w:val="007A0005"/>
    <w:rsid w:val="007B65BD"/>
    <w:rsid w:val="007C02FB"/>
    <w:rsid w:val="00890F83"/>
    <w:rsid w:val="00893617"/>
    <w:rsid w:val="00896E3F"/>
    <w:rsid w:val="008A0947"/>
    <w:rsid w:val="008A65B5"/>
    <w:rsid w:val="008A7C27"/>
    <w:rsid w:val="008B6B49"/>
    <w:rsid w:val="008D4F6B"/>
    <w:rsid w:val="0090328B"/>
    <w:rsid w:val="00905A76"/>
    <w:rsid w:val="00917061"/>
    <w:rsid w:val="00922D05"/>
    <w:rsid w:val="00937EFF"/>
    <w:rsid w:val="0094455C"/>
    <w:rsid w:val="009504AB"/>
    <w:rsid w:val="00962A83"/>
    <w:rsid w:val="0096344F"/>
    <w:rsid w:val="00966D2F"/>
    <w:rsid w:val="00976767"/>
    <w:rsid w:val="00992817"/>
    <w:rsid w:val="009977D8"/>
    <w:rsid w:val="009A2D6C"/>
    <w:rsid w:val="009D1381"/>
    <w:rsid w:val="009D666D"/>
    <w:rsid w:val="00A1585C"/>
    <w:rsid w:val="00A20969"/>
    <w:rsid w:val="00A23C6C"/>
    <w:rsid w:val="00A35543"/>
    <w:rsid w:val="00A51CFD"/>
    <w:rsid w:val="00A53101"/>
    <w:rsid w:val="00A53DD6"/>
    <w:rsid w:val="00A776BB"/>
    <w:rsid w:val="00A81BAB"/>
    <w:rsid w:val="00AA37E2"/>
    <w:rsid w:val="00AE07C7"/>
    <w:rsid w:val="00AE7E63"/>
    <w:rsid w:val="00AF5215"/>
    <w:rsid w:val="00B20209"/>
    <w:rsid w:val="00B208CF"/>
    <w:rsid w:val="00B442BB"/>
    <w:rsid w:val="00B4558E"/>
    <w:rsid w:val="00B833D6"/>
    <w:rsid w:val="00BE013B"/>
    <w:rsid w:val="00BE0941"/>
    <w:rsid w:val="00BE6045"/>
    <w:rsid w:val="00BF4B26"/>
    <w:rsid w:val="00BF6F09"/>
    <w:rsid w:val="00C10CD0"/>
    <w:rsid w:val="00C13FD4"/>
    <w:rsid w:val="00C15BFB"/>
    <w:rsid w:val="00C17AC9"/>
    <w:rsid w:val="00C217E0"/>
    <w:rsid w:val="00C23877"/>
    <w:rsid w:val="00C307CC"/>
    <w:rsid w:val="00C33822"/>
    <w:rsid w:val="00C4212D"/>
    <w:rsid w:val="00C4327C"/>
    <w:rsid w:val="00C477D5"/>
    <w:rsid w:val="00C94AFF"/>
    <w:rsid w:val="00C9510C"/>
    <w:rsid w:val="00CD3C37"/>
    <w:rsid w:val="00CE0D60"/>
    <w:rsid w:val="00CE200A"/>
    <w:rsid w:val="00CF3504"/>
    <w:rsid w:val="00D221CF"/>
    <w:rsid w:val="00D27752"/>
    <w:rsid w:val="00D40FD1"/>
    <w:rsid w:val="00D460C7"/>
    <w:rsid w:val="00D60B8F"/>
    <w:rsid w:val="00D94F48"/>
    <w:rsid w:val="00D96691"/>
    <w:rsid w:val="00DA5116"/>
    <w:rsid w:val="00DC149F"/>
    <w:rsid w:val="00DC2409"/>
    <w:rsid w:val="00E20654"/>
    <w:rsid w:val="00E35532"/>
    <w:rsid w:val="00E35FE9"/>
    <w:rsid w:val="00E53FCC"/>
    <w:rsid w:val="00E634FB"/>
    <w:rsid w:val="00E80340"/>
    <w:rsid w:val="00E87467"/>
    <w:rsid w:val="00EA14A4"/>
    <w:rsid w:val="00EA3669"/>
    <w:rsid w:val="00EA3B5F"/>
    <w:rsid w:val="00EB6FB3"/>
    <w:rsid w:val="00EC1099"/>
    <w:rsid w:val="00ED778B"/>
    <w:rsid w:val="00EF4A85"/>
    <w:rsid w:val="00F80506"/>
    <w:rsid w:val="00F82328"/>
    <w:rsid w:val="00F8764B"/>
    <w:rsid w:val="00F904D8"/>
    <w:rsid w:val="00F9491F"/>
    <w:rsid w:val="00F9623F"/>
    <w:rsid w:val="00FA06A4"/>
    <w:rsid w:val="00FA6B26"/>
    <w:rsid w:val="00FB67C4"/>
    <w:rsid w:val="00FC7E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52C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4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07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44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6344F"/>
    <w:pPr>
      <w:outlineLvl w:val="9"/>
    </w:pPr>
    <w:rPr>
      <w:lang w:val="en-US"/>
    </w:rPr>
  </w:style>
  <w:style w:type="paragraph" w:styleId="TOC1">
    <w:name w:val="toc 1"/>
    <w:basedOn w:val="Normal"/>
    <w:next w:val="Normal"/>
    <w:autoRedefine/>
    <w:uiPriority w:val="39"/>
    <w:unhideWhenUsed/>
    <w:rsid w:val="0096344F"/>
    <w:pPr>
      <w:spacing w:after="100"/>
    </w:pPr>
  </w:style>
  <w:style w:type="character" w:styleId="Hyperlink">
    <w:name w:val="Hyperlink"/>
    <w:basedOn w:val="DefaultParagraphFont"/>
    <w:uiPriority w:val="99"/>
    <w:unhideWhenUsed/>
    <w:rsid w:val="0096344F"/>
    <w:rPr>
      <w:color w:val="0563C1" w:themeColor="hyperlink"/>
      <w:u w:val="single"/>
    </w:rPr>
  </w:style>
  <w:style w:type="paragraph" w:styleId="Header">
    <w:name w:val="header"/>
    <w:basedOn w:val="Normal"/>
    <w:link w:val="HeaderChar"/>
    <w:uiPriority w:val="99"/>
    <w:unhideWhenUsed/>
    <w:rsid w:val="002652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52E5"/>
  </w:style>
  <w:style w:type="paragraph" w:styleId="Footer">
    <w:name w:val="footer"/>
    <w:basedOn w:val="Normal"/>
    <w:link w:val="FooterChar"/>
    <w:uiPriority w:val="99"/>
    <w:unhideWhenUsed/>
    <w:rsid w:val="002652E5"/>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52E5"/>
  </w:style>
  <w:style w:type="character" w:customStyle="1" w:styleId="Heading2Char">
    <w:name w:val="Heading 2 Char"/>
    <w:basedOn w:val="DefaultParagraphFont"/>
    <w:link w:val="Heading2"/>
    <w:uiPriority w:val="9"/>
    <w:rsid w:val="003107C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107C5"/>
    <w:pPr>
      <w:spacing w:after="100"/>
      <w:ind w:left="220"/>
    </w:pPr>
  </w:style>
  <w:style w:type="character" w:styleId="CommentReference">
    <w:name w:val="annotation reference"/>
    <w:basedOn w:val="DefaultParagraphFont"/>
    <w:uiPriority w:val="99"/>
    <w:semiHidden/>
    <w:unhideWhenUsed/>
    <w:rsid w:val="00B442BB"/>
    <w:rPr>
      <w:sz w:val="16"/>
      <w:szCs w:val="16"/>
    </w:rPr>
  </w:style>
  <w:style w:type="paragraph" w:styleId="CommentText">
    <w:name w:val="annotation text"/>
    <w:basedOn w:val="Normal"/>
    <w:link w:val="CommentTextChar"/>
    <w:uiPriority w:val="99"/>
    <w:unhideWhenUsed/>
    <w:rsid w:val="00B442BB"/>
    <w:pPr>
      <w:spacing w:line="240" w:lineRule="auto"/>
    </w:pPr>
    <w:rPr>
      <w:sz w:val="20"/>
      <w:szCs w:val="20"/>
    </w:rPr>
  </w:style>
  <w:style w:type="character" w:customStyle="1" w:styleId="CommentTextChar">
    <w:name w:val="Comment Text Char"/>
    <w:basedOn w:val="DefaultParagraphFont"/>
    <w:link w:val="CommentText"/>
    <w:uiPriority w:val="99"/>
    <w:rsid w:val="00B442BB"/>
    <w:rPr>
      <w:sz w:val="20"/>
      <w:szCs w:val="20"/>
    </w:rPr>
  </w:style>
  <w:style w:type="paragraph" w:styleId="BalloonText">
    <w:name w:val="Balloon Text"/>
    <w:basedOn w:val="Normal"/>
    <w:link w:val="BalloonTextChar"/>
    <w:uiPriority w:val="99"/>
    <w:semiHidden/>
    <w:unhideWhenUsed/>
    <w:rsid w:val="00B44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2BB"/>
    <w:rPr>
      <w:rFonts w:ascii="Segoe UI" w:hAnsi="Segoe UI" w:cs="Segoe UI"/>
      <w:sz w:val="18"/>
      <w:szCs w:val="18"/>
    </w:rPr>
  </w:style>
  <w:style w:type="paragraph" w:styleId="ListParagraph">
    <w:name w:val="List Paragraph"/>
    <w:basedOn w:val="Normal"/>
    <w:uiPriority w:val="34"/>
    <w:qFormat/>
    <w:rsid w:val="001B00B1"/>
    <w:pPr>
      <w:ind w:left="720"/>
      <w:contextualSpacing/>
    </w:pPr>
  </w:style>
  <w:style w:type="paragraph" w:styleId="CommentSubject">
    <w:name w:val="annotation subject"/>
    <w:basedOn w:val="CommentText"/>
    <w:next w:val="CommentText"/>
    <w:link w:val="CommentSubjectChar"/>
    <w:uiPriority w:val="99"/>
    <w:semiHidden/>
    <w:unhideWhenUsed/>
    <w:rsid w:val="00DA5116"/>
    <w:rPr>
      <w:b/>
      <w:bCs/>
    </w:rPr>
  </w:style>
  <w:style w:type="character" w:customStyle="1" w:styleId="CommentSubjectChar">
    <w:name w:val="Comment Subject Char"/>
    <w:basedOn w:val="CommentTextChar"/>
    <w:link w:val="CommentSubject"/>
    <w:uiPriority w:val="99"/>
    <w:semiHidden/>
    <w:rsid w:val="00DA5116"/>
    <w:rPr>
      <w:b/>
      <w:bCs/>
      <w:sz w:val="20"/>
      <w:szCs w:val="20"/>
    </w:rPr>
  </w:style>
  <w:style w:type="paragraph" w:styleId="TOC3">
    <w:name w:val="toc 3"/>
    <w:basedOn w:val="Normal"/>
    <w:next w:val="Normal"/>
    <w:autoRedefine/>
    <w:uiPriority w:val="39"/>
    <w:unhideWhenUsed/>
    <w:rsid w:val="00A53D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79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ca00e-dfab-4750-850d-150a5e3a1ae8">
      <Terms xmlns="http://schemas.microsoft.com/office/infopath/2007/PartnerControls"/>
    </lcf76f155ced4ddcb4097134ff3c332f>
    <TaxCatchAll xmlns="c247152a-a005-40e5-bd67-4b6faf4f48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CEA967A3A6A4B83B67DABF081EE4D" ma:contentTypeVersion="11" ma:contentTypeDescription="Create a new document." ma:contentTypeScope="" ma:versionID="ddba76c841d0710361ff0c298bb6fe2f">
  <xsd:schema xmlns:xsd="http://www.w3.org/2001/XMLSchema" xmlns:xs="http://www.w3.org/2001/XMLSchema" xmlns:p="http://schemas.microsoft.com/office/2006/metadata/properties" xmlns:ns2="5cfca00e-dfab-4750-850d-150a5e3a1ae8" xmlns:ns3="c247152a-a005-40e5-bd67-4b6faf4f48de" targetNamespace="http://schemas.microsoft.com/office/2006/metadata/properties" ma:root="true" ma:fieldsID="e7c4c0b5800d9e5067955c74be39b4fd" ns2:_="" ns3:_="">
    <xsd:import namespace="5cfca00e-dfab-4750-850d-150a5e3a1ae8"/>
    <xsd:import namespace="c247152a-a005-40e5-bd67-4b6faf4f4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ca00e-dfab-4750-850d-150a5e3a1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2a99cf-d5ea-457f-9eeb-1927ff6c34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7152a-a005-40e5-bd67-4b6faf4f48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f56972-5aa4-414c-ae5e-dde229a8698b}" ma:internalName="TaxCatchAll" ma:showField="CatchAllData" ma:web="c247152a-a005-40e5-bd67-4b6faf4f4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5118E-BD61-4E80-8051-22C5A4CCE96F}">
  <ds:schemaRefs>
    <ds:schemaRef ds:uri="http://schemas.microsoft.com/sharepoint/v3/contenttype/forms"/>
  </ds:schemaRefs>
</ds:datastoreItem>
</file>

<file path=customXml/itemProps2.xml><?xml version="1.0" encoding="utf-8"?>
<ds:datastoreItem xmlns:ds="http://schemas.openxmlformats.org/officeDocument/2006/customXml" ds:itemID="{B0125992-22E6-4220-93C6-E95AC0FD4467}">
  <ds:schemaRefs>
    <ds:schemaRef ds:uri="http://schemas.openxmlformats.org/officeDocument/2006/bibliography"/>
  </ds:schemaRefs>
</ds:datastoreItem>
</file>

<file path=customXml/itemProps3.xml><?xml version="1.0" encoding="utf-8"?>
<ds:datastoreItem xmlns:ds="http://schemas.openxmlformats.org/officeDocument/2006/customXml" ds:itemID="{2AEF7A23-45A0-448F-970E-D4D487950E67}">
  <ds:schemaRefs>
    <ds:schemaRef ds:uri="http://schemas.microsoft.com/office/2006/metadata/properties"/>
    <ds:schemaRef ds:uri="http://schemas.microsoft.com/office/infopath/2007/PartnerControls"/>
    <ds:schemaRef ds:uri="http://www.w3.org/XML/1998/namespace"/>
    <ds:schemaRef ds:uri="1e35f91b-840e-405d-8cea-5630f2ae6311"/>
    <ds:schemaRef ds:uri="http://schemas.microsoft.com/office/2006/documentManagement/types"/>
    <ds:schemaRef ds:uri="http://purl.org/dc/elements/1.1/"/>
    <ds:schemaRef ds:uri="http://purl.org/dc/dcmitype/"/>
    <ds:schemaRef ds:uri="http://schemas.openxmlformats.org/package/2006/metadata/core-properties"/>
    <ds:schemaRef ds:uri="5156e323-1b52-4ac7-aa84-317b5d084d41"/>
    <ds:schemaRef ds:uri="http://purl.org/dc/terms/"/>
  </ds:schemaRefs>
</ds:datastoreItem>
</file>

<file path=customXml/itemProps4.xml><?xml version="1.0" encoding="utf-8"?>
<ds:datastoreItem xmlns:ds="http://schemas.openxmlformats.org/officeDocument/2006/customXml" ds:itemID="{01D2E16C-0AD5-42B7-ABFA-CA61BA6FA2D8}"/>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2024-04-13T11:26:00Z</dcterms:created>
  <dcterms:modified xsi:type="dcterms:W3CDTF">2024-04-13T11:26:00Z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0x01010008ECEA967A3A6A4B83B67DABF081EE4D</vt:lpwstr>
  </property>
</Properties>
</file>